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336" w:rsidRPr="00FF7336" w:rsidRDefault="00FF7336" w:rsidP="00FF7336">
      <w:pPr>
        <w:autoSpaceDE w:val="0"/>
        <w:autoSpaceDN w:val="0"/>
        <w:adjustRightInd w:val="0"/>
        <w:spacing w:after="0" w:line="360" w:lineRule="auto"/>
        <w:jc w:val="right"/>
        <w:rPr>
          <w:rFonts w:cs="Tahoma"/>
          <w:color w:val="F79646" w:themeColor="accent6"/>
          <w:sz w:val="44"/>
          <w:szCs w:val="44"/>
          <w:lang w:val="en-US"/>
        </w:rPr>
      </w:pPr>
    </w:p>
    <w:p w:rsidR="00004E3D" w:rsidRPr="00933988" w:rsidRDefault="005C2A9B" w:rsidP="006E2146">
      <w:pPr>
        <w:pStyle w:val="Heading1"/>
        <w:spacing w:afterLines="200" w:line="276" w:lineRule="auto"/>
      </w:pPr>
      <w:r w:rsidRPr="00933988">
        <w:t>Appendix 15</w:t>
      </w:r>
      <w:r w:rsidR="0060505F" w:rsidRPr="00933988">
        <w:t>-</w:t>
      </w:r>
      <w:r w:rsidR="00090150" w:rsidRPr="00933988">
        <w:t xml:space="preserve"> </w:t>
      </w:r>
      <w:r w:rsidR="00E54CE3" w:rsidRPr="00933988">
        <w:t xml:space="preserve">Implementation &amp; Monitoring </w:t>
      </w:r>
    </w:p>
    <w:p w:rsidR="00D97449" w:rsidRDefault="00004E3D" w:rsidP="006E2146">
      <w:pPr>
        <w:pStyle w:val="Heading2"/>
        <w:spacing w:afterLines="200"/>
        <w:rPr>
          <w:b w:val="0"/>
          <w:color w:val="F79646" w:themeColor="accent6"/>
          <w:sz w:val="28"/>
          <w:szCs w:val="28"/>
        </w:rPr>
      </w:pPr>
      <w:r w:rsidRPr="00E54CE3">
        <w:rPr>
          <w:b w:val="0"/>
          <w:color w:val="F79646" w:themeColor="accent6"/>
          <w:sz w:val="28"/>
          <w:szCs w:val="28"/>
        </w:rPr>
        <w:t>Introduction</w:t>
      </w:r>
    </w:p>
    <w:p w:rsidR="0017357C" w:rsidRDefault="00004E3D" w:rsidP="006E2146">
      <w:pPr>
        <w:autoSpaceDE w:val="0"/>
        <w:autoSpaceDN w:val="0"/>
        <w:adjustRightInd w:val="0"/>
        <w:spacing w:afterLines="200" w:line="240" w:lineRule="auto"/>
        <w:jc w:val="both"/>
      </w:pPr>
      <w:r w:rsidRPr="00D97449">
        <w:rPr>
          <w:rFonts w:cs="TTEDt00"/>
          <w:color w:val="000000"/>
        </w:rPr>
        <w:t>The successful implementation of a significant number of the policies and objectives of the Plan will necessitate on-going collaboration and a sense of good-will across a range of agencies and stakeholders. The implementation of the Plan will depend also on the economic climate,</w:t>
      </w:r>
      <w:r w:rsidR="00F7458C" w:rsidRPr="00D97449">
        <w:rPr>
          <w:rFonts w:cs="TTEDt00"/>
          <w:color w:val="000000"/>
        </w:rPr>
        <w:t xml:space="preserve"> political support,</w:t>
      </w:r>
      <w:r w:rsidRPr="00D97449">
        <w:rPr>
          <w:rFonts w:cs="TTEDt00"/>
          <w:color w:val="000000"/>
        </w:rPr>
        <w:t xml:space="preserve"> Council funding and the availability of funding from other sources. However, </w:t>
      </w:r>
      <w:r w:rsidR="00F7458C" w:rsidRPr="00D97449">
        <w:rPr>
          <w:rFonts w:cs="TTEDt00"/>
          <w:color w:val="000000"/>
        </w:rPr>
        <w:t xml:space="preserve">the </w:t>
      </w:r>
      <w:r w:rsidRPr="00D97449">
        <w:rPr>
          <w:rFonts w:cs="TTEDt00"/>
          <w:color w:val="000000"/>
        </w:rPr>
        <w:t>Council will exercise all of its legal powers to ensure that the objectives are implemented.</w:t>
      </w:r>
      <w:r w:rsidR="0017357C" w:rsidRPr="0017357C">
        <w:t xml:space="preserve"> </w:t>
      </w:r>
    </w:p>
    <w:p w:rsidR="00004E3D" w:rsidRPr="00D97449" w:rsidRDefault="0017357C" w:rsidP="006E2146">
      <w:pPr>
        <w:autoSpaceDE w:val="0"/>
        <w:autoSpaceDN w:val="0"/>
        <w:adjustRightInd w:val="0"/>
        <w:spacing w:afterLines="200" w:line="240" w:lineRule="auto"/>
        <w:jc w:val="both"/>
        <w:rPr>
          <w:rFonts w:cs="TTEDt00"/>
          <w:color w:val="000000"/>
        </w:rPr>
      </w:pPr>
      <w:r w:rsidRPr="004D7D58">
        <w:t>In terms of the plan hierarchy, the County Development Plan sits below the regional plan, the Regional Spatial and Economic Strategy (RSES) for the Eastern and Midlands region.  The RSES provides the link between the NPF and the City/County Development Plans and the Local Economic and Community Plans.</w:t>
      </w:r>
    </w:p>
    <w:p w:rsidR="00004E3D" w:rsidRDefault="00370871" w:rsidP="006E2146">
      <w:pPr>
        <w:autoSpaceDE w:val="0"/>
        <w:autoSpaceDN w:val="0"/>
        <w:adjustRightInd w:val="0"/>
        <w:spacing w:afterLines="200" w:line="240" w:lineRule="auto"/>
        <w:jc w:val="both"/>
        <w:rPr>
          <w:rFonts w:cs="TTEDt00"/>
          <w:color w:val="000000"/>
        </w:rPr>
      </w:pPr>
      <w:r>
        <w:rPr>
          <w:rFonts w:cs="TTEDt00"/>
          <w:color w:val="000000"/>
        </w:rPr>
        <w:t>N</w:t>
      </w:r>
      <w:r w:rsidR="00004E3D" w:rsidRPr="00D97449">
        <w:rPr>
          <w:rFonts w:cs="TTEDt00"/>
          <w:color w:val="000000"/>
        </w:rPr>
        <w:t xml:space="preserve">otwithstanding the statutory requirement to prepare a progress report not more than 2 years after the making of the Plan, the preparation of an annual monitoring and evaluation report </w:t>
      </w:r>
      <w:r w:rsidR="00D625FE" w:rsidRPr="00D97449">
        <w:rPr>
          <w:rFonts w:cs="TTEDt00"/>
          <w:color w:val="000000"/>
        </w:rPr>
        <w:t>(subject to availa</w:t>
      </w:r>
      <w:r w:rsidR="00DE6953" w:rsidRPr="00D97449">
        <w:rPr>
          <w:rFonts w:cs="TTEDt00"/>
          <w:color w:val="000000"/>
        </w:rPr>
        <w:t xml:space="preserve">bility of adequate resources) </w:t>
      </w:r>
      <w:r w:rsidR="00004E3D" w:rsidRPr="00D97449">
        <w:rPr>
          <w:rFonts w:cs="TTEDt00"/>
          <w:color w:val="000000"/>
        </w:rPr>
        <w:t xml:space="preserve">would be of value to the Council to facilitate the identification of any issues concerning implementation of the </w:t>
      </w:r>
      <w:r w:rsidR="00F7458C" w:rsidRPr="00D97449">
        <w:rPr>
          <w:rFonts w:cs="TTEDt00"/>
          <w:color w:val="000000"/>
        </w:rPr>
        <w:t>p</w:t>
      </w:r>
      <w:r w:rsidR="00004E3D" w:rsidRPr="00D97449">
        <w:rPr>
          <w:rFonts w:cs="TTEDt00"/>
          <w:color w:val="000000"/>
        </w:rPr>
        <w:t xml:space="preserve">lan, for example through the interpretation of plan </w:t>
      </w:r>
      <w:proofErr w:type="gramStart"/>
      <w:r w:rsidR="00004E3D" w:rsidRPr="00D97449">
        <w:rPr>
          <w:rFonts w:cs="TTEDt00"/>
          <w:color w:val="000000"/>
        </w:rPr>
        <w:t>objectives</w:t>
      </w:r>
      <w:proofErr w:type="gramEnd"/>
      <w:r w:rsidR="00004E3D" w:rsidRPr="00D97449">
        <w:rPr>
          <w:rFonts w:cs="TTEDt00"/>
          <w:color w:val="000000"/>
        </w:rPr>
        <w:t xml:space="preserve"> </w:t>
      </w:r>
      <w:r>
        <w:rPr>
          <w:rFonts w:cs="TTEDt00"/>
          <w:color w:val="000000"/>
        </w:rPr>
        <w:t>with</w:t>
      </w:r>
      <w:r w:rsidR="00004E3D" w:rsidRPr="00D97449">
        <w:rPr>
          <w:rFonts w:cs="TTEDt00"/>
          <w:color w:val="000000"/>
        </w:rPr>
        <w:t>in the development management process.</w:t>
      </w:r>
    </w:p>
    <w:p w:rsidR="00626ED2" w:rsidRDefault="00626ED2" w:rsidP="006E2146">
      <w:pPr>
        <w:tabs>
          <w:tab w:val="left" w:pos="720"/>
        </w:tabs>
        <w:spacing w:afterLines="200"/>
        <w:jc w:val="both"/>
        <w:rPr>
          <w:rFonts w:cstheme="minorHAnsi"/>
          <w:bCs/>
          <w:iCs/>
          <w:color w:val="F79646" w:themeColor="accent6"/>
          <w:sz w:val="24"/>
          <w:szCs w:val="24"/>
        </w:rPr>
      </w:pPr>
      <w:r>
        <w:rPr>
          <w:rFonts w:cstheme="minorHAnsi"/>
          <w:bCs/>
          <w:iCs/>
          <w:color w:val="F79646" w:themeColor="accent6"/>
          <w:sz w:val="24"/>
          <w:szCs w:val="24"/>
        </w:rPr>
        <w:t>Legislative Background</w:t>
      </w:r>
    </w:p>
    <w:p w:rsidR="008B6E88" w:rsidRDefault="008B6E88" w:rsidP="006E2146">
      <w:pPr>
        <w:pStyle w:val="Heading2"/>
        <w:spacing w:afterLines="200" w:line="240" w:lineRule="auto"/>
        <w:jc w:val="both"/>
        <w:rPr>
          <w:rFonts w:asciiTheme="minorHAnsi" w:hAnsiTheme="minorHAnsi" w:cs="TTEDt00"/>
          <w:b w:val="0"/>
          <w:color w:val="000000"/>
          <w:sz w:val="22"/>
          <w:szCs w:val="22"/>
        </w:rPr>
      </w:pPr>
      <w:r w:rsidRPr="00D97449">
        <w:rPr>
          <w:rFonts w:asciiTheme="minorHAnsi" w:hAnsiTheme="minorHAnsi" w:cs="TTEDt00"/>
          <w:b w:val="0"/>
          <w:color w:val="000000"/>
          <w:sz w:val="22"/>
          <w:szCs w:val="22"/>
        </w:rPr>
        <w:t>Under the provisions of Section 15 (1) of t</w:t>
      </w:r>
      <w:r>
        <w:rPr>
          <w:rFonts w:asciiTheme="minorHAnsi" w:hAnsiTheme="minorHAnsi" w:cs="TTEDt00"/>
          <w:b w:val="0"/>
          <w:color w:val="000000"/>
          <w:sz w:val="22"/>
          <w:szCs w:val="22"/>
        </w:rPr>
        <w:t>he Planning and Development Act</w:t>
      </w:r>
      <w:r w:rsidRPr="00D97449">
        <w:rPr>
          <w:rFonts w:asciiTheme="minorHAnsi" w:hAnsiTheme="minorHAnsi" w:cs="TTEDt00"/>
          <w:b w:val="0"/>
          <w:color w:val="000000"/>
          <w:sz w:val="22"/>
          <w:szCs w:val="22"/>
        </w:rPr>
        <w:t xml:space="preserve"> 2000 </w:t>
      </w:r>
      <w:r>
        <w:rPr>
          <w:rFonts w:asciiTheme="minorHAnsi" w:hAnsiTheme="minorHAnsi" w:cs="TTEDt00"/>
          <w:b w:val="0"/>
          <w:color w:val="000000"/>
          <w:sz w:val="22"/>
          <w:szCs w:val="22"/>
        </w:rPr>
        <w:t>(</w:t>
      </w:r>
      <w:r w:rsidRPr="00D97449">
        <w:rPr>
          <w:rFonts w:asciiTheme="minorHAnsi" w:hAnsiTheme="minorHAnsi" w:cs="TTEDt00"/>
          <w:b w:val="0"/>
          <w:color w:val="000000"/>
          <w:sz w:val="22"/>
          <w:szCs w:val="22"/>
        </w:rPr>
        <w:t>as amended</w:t>
      </w:r>
      <w:r>
        <w:rPr>
          <w:rFonts w:asciiTheme="minorHAnsi" w:hAnsiTheme="minorHAnsi" w:cs="TTEDt00"/>
          <w:b w:val="0"/>
          <w:color w:val="000000"/>
          <w:sz w:val="22"/>
          <w:szCs w:val="22"/>
        </w:rPr>
        <w:t>)</w:t>
      </w:r>
      <w:r w:rsidRPr="00D97449">
        <w:rPr>
          <w:rFonts w:asciiTheme="minorHAnsi" w:hAnsiTheme="minorHAnsi" w:cs="TTEDt00"/>
          <w:b w:val="0"/>
          <w:color w:val="000000"/>
          <w:sz w:val="22"/>
          <w:szCs w:val="22"/>
        </w:rPr>
        <w:t xml:space="preserve">, the Council has a statutory obligation to secure the implementation of the objectives of the Plan. The Council is fully committed to securing and monitoring the implementation of the strategies, policies and objectives of this Plan. The Council will </w:t>
      </w:r>
      <w:r>
        <w:rPr>
          <w:rFonts w:asciiTheme="minorHAnsi" w:hAnsiTheme="minorHAnsi" w:cs="TTEDt00"/>
          <w:b w:val="0"/>
          <w:color w:val="000000"/>
          <w:sz w:val="22"/>
          <w:szCs w:val="22"/>
        </w:rPr>
        <w:t>continue to occupy</w:t>
      </w:r>
      <w:r w:rsidRPr="00D97449">
        <w:rPr>
          <w:rFonts w:asciiTheme="minorHAnsi" w:hAnsiTheme="minorHAnsi" w:cs="TTEDt00"/>
          <w:b w:val="0"/>
          <w:color w:val="000000"/>
          <w:sz w:val="22"/>
          <w:szCs w:val="22"/>
        </w:rPr>
        <w:t xml:space="preserve"> a leadership role to progress and secure the Plan policies and objectives to achieve the sustainable development of communities, the economic repositioning of the County and the promotion of the County’s unique cultural and natural heritage. In providing this leadership role, the Council will foster a collaborative approach with citizens, stakeholders, </w:t>
      </w:r>
      <w:proofErr w:type="spellStart"/>
      <w:r w:rsidRPr="00D97449">
        <w:rPr>
          <w:rFonts w:asciiTheme="minorHAnsi" w:hAnsiTheme="minorHAnsi" w:cs="TTEDt00"/>
          <w:b w:val="0"/>
          <w:color w:val="000000"/>
          <w:sz w:val="22"/>
          <w:szCs w:val="22"/>
        </w:rPr>
        <w:t>sectoral</w:t>
      </w:r>
      <w:proofErr w:type="spellEnd"/>
      <w:r w:rsidRPr="00D97449">
        <w:rPr>
          <w:rFonts w:asciiTheme="minorHAnsi" w:hAnsiTheme="minorHAnsi" w:cs="TTEDt00"/>
          <w:b w:val="0"/>
          <w:color w:val="000000"/>
          <w:sz w:val="22"/>
          <w:szCs w:val="22"/>
        </w:rPr>
        <w:t xml:space="preserve"> interests, and adjoining authorities to achieve collective support and successful implementation of the Plan.</w:t>
      </w:r>
    </w:p>
    <w:p w:rsidR="00A84868" w:rsidRDefault="008B6E88" w:rsidP="006E2146">
      <w:pPr>
        <w:tabs>
          <w:tab w:val="left" w:pos="720"/>
        </w:tabs>
        <w:spacing w:afterLines="200"/>
        <w:jc w:val="both"/>
      </w:pPr>
      <w:r w:rsidRPr="00564CF6">
        <w:t xml:space="preserve">The Local Government Reform Act 2014 </w:t>
      </w:r>
      <w:r>
        <w:t xml:space="preserve">gives legislative effect to the proposals contained in ‘Putting People First’, and </w:t>
      </w:r>
      <w:r w:rsidRPr="00564CF6">
        <w:t xml:space="preserve">provides for a range of changes to the organisation and work of local authorities. Local Authorities are now required to develop a Local Economic and Community Plan </w:t>
      </w:r>
      <w:r>
        <w:t xml:space="preserve">(LECP) </w:t>
      </w:r>
      <w:r w:rsidRPr="00564CF6">
        <w:t xml:space="preserve">which seeks </w:t>
      </w:r>
      <w:r>
        <w:t>to establish an</w:t>
      </w:r>
      <w:r w:rsidRPr="00564CF6">
        <w:t xml:space="preserve"> integrated approach to economic and local community development </w:t>
      </w:r>
      <w:r>
        <w:t>at c</w:t>
      </w:r>
      <w:r w:rsidRPr="00564CF6">
        <w:t>ounty</w:t>
      </w:r>
      <w:r>
        <w:t xml:space="preserve"> level,</w:t>
      </w:r>
      <w:r w:rsidRPr="00564CF6">
        <w:t xml:space="preserve"> </w:t>
      </w:r>
      <w:r>
        <w:t xml:space="preserve">Further changes include the establishment of the </w:t>
      </w:r>
      <w:r w:rsidRPr="00564CF6">
        <w:t>Local Community Development Committees (LCDC’s),</w:t>
      </w:r>
      <w:r>
        <w:t xml:space="preserve"> </w:t>
      </w:r>
      <w:r w:rsidRPr="00564CF6">
        <w:t xml:space="preserve">and Local Enterprise Offices (LEO’s) within Local Authorities. </w:t>
      </w:r>
      <w:r>
        <w:t xml:space="preserve">The Economic Strategy for County Meath 2014-2022, the first of its kind, recognises Meath’s significant strategic location within </w:t>
      </w:r>
      <w:r>
        <w:lastRenderedPageBreak/>
        <w:t>the Eastern Midland region and the county’s unique competitive advantage within Ireland. This Plan seeks to promote the County as a nationally and internationally attractive and distinctive location in which to conduct business. The policies and objectives of this Plan seek to continue the</w:t>
      </w:r>
      <w:r w:rsidRPr="00FA528D">
        <w:t xml:space="preserve"> </w:t>
      </w:r>
      <w:r>
        <w:t>successful implementation of the Economic Strategy which has facilitated the delivery of a number of significant F.D.I and indigenous projects since its inception.</w:t>
      </w:r>
    </w:p>
    <w:p w:rsidR="0017357C" w:rsidRDefault="0017357C" w:rsidP="006E2146">
      <w:pPr>
        <w:tabs>
          <w:tab w:val="left" w:pos="720"/>
        </w:tabs>
        <w:spacing w:afterLines="200"/>
        <w:jc w:val="both"/>
        <w:rPr>
          <w:rFonts w:cstheme="minorHAnsi"/>
          <w:bCs/>
          <w:iCs/>
          <w:color w:val="F79646" w:themeColor="accent6"/>
          <w:sz w:val="28"/>
          <w:szCs w:val="28"/>
        </w:rPr>
      </w:pPr>
      <w:r w:rsidRPr="004D7D58">
        <w:t>Under Section 22A of the Planning and Development Act 2000</w:t>
      </w:r>
      <w:r w:rsidR="006B5187" w:rsidRPr="004D7D58">
        <w:t xml:space="preserve"> (as amended), and each Local A</w:t>
      </w:r>
      <w:r w:rsidRPr="004D7D58">
        <w:t>uthority within the Regional Assembly is required, every 2 years, to prepare and submit a report to the Assembly setting out progress made in supporting o</w:t>
      </w:r>
      <w:r w:rsidR="006B039D" w:rsidRPr="004D7D58">
        <w:t>bjectives, relevant to that authority</w:t>
      </w:r>
      <w:r w:rsidRPr="004D7D58">
        <w:t>, of the Strategy.</w:t>
      </w:r>
    </w:p>
    <w:p w:rsidR="00A84868" w:rsidRDefault="00A84868" w:rsidP="006E2146">
      <w:pPr>
        <w:tabs>
          <w:tab w:val="left" w:pos="720"/>
        </w:tabs>
        <w:spacing w:afterLines="200"/>
        <w:jc w:val="both"/>
        <w:rPr>
          <w:rFonts w:cstheme="minorHAnsi"/>
          <w:bCs/>
          <w:iCs/>
          <w:color w:val="F79646" w:themeColor="accent6"/>
          <w:sz w:val="24"/>
          <w:szCs w:val="24"/>
        </w:rPr>
      </w:pPr>
      <w:r w:rsidRPr="00A84868">
        <w:rPr>
          <w:rFonts w:cstheme="minorHAnsi"/>
          <w:bCs/>
          <w:iCs/>
          <w:color w:val="F79646" w:themeColor="accent6"/>
          <w:sz w:val="24"/>
          <w:szCs w:val="24"/>
        </w:rPr>
        <w:t>Local Area Plans</w:t>
      </w:r>
    </w:p>
    <w:p w:rsidR="00004E3D" w:rsidRPr="00A84868" w:rsidRDefault="00004E3D" w:rsidP="006E2146">
      <w:pPr>
        <w:tabs>
          <w:tab w:val="left" w:pos="720"/>
        </w:tabs>
        <w:spacing w:afterLines="200"/>
        <w:jc w:val="both"/>
        <w:rPr>
          <w:rFonts w:cstheme="minorHAnsi"/>
          <w:color w:val="F79646" w:themeColor="accent6"/>
          <w:sz w:val="24"/>
          <w:szCs w:val="24"/>
        </w:rPr>
      </w:pPr>
      <w:r w:rsidRPr="00004E3D">
        <w:rPr>
          <w:rFonts w:cs="TTEDt00"/>
          <w:color w:val="000000"/>
        </w:rPr>
        <w:t>An imp</w:t>
      </w:r>
      <w:r w:rsidR="0036104C">
        <w:rPr>
          <w:rFonts w:cs="TTEDt00"/>
          <w:color w:val="000000"/>
        </w:rPr>
        <w:t>ortant driver of the Plan S</w:t>
      </w:r>
      <w:r w:rsidRPr="00004E3D">
        <w:rPr>
          <w:rFonts w:cs="TTEDt00"/>
          <w:color w:val="000000"/>
        </w:rPr>
        <w:t>trategy is to bring policies to a more detailed local</w:t>
      </w:r>
      <w:r>
        <w:rPr>
          <w:rFonts w:cs="TTEDt00"/>
          <w:color w:val="000000"/>
        </w:rPr>
        <w:t xml:space="preserve"> </w:t>
      </w:r>
      <w:r w:rsidRPr="00004E3D">
        <w:rPr>
          <w:rFonts w:cs="TTEDt00"/>
          <w:color w:val="000000"/>
        </w:rPr>
        <w:t>level through Local Area Plans. The strategic and broa</w:t>
      </w:r>
      <w:r w:rsidR="00BD0EEF">
        <w:rPr>
          <w:rFonts w:cs="TTEDt00"/>
          <w:color w:val="000000"/>
        </w:rPr>
        <w:t>d-ranging policies of the P</w:t>
      </w:r>
      <w:r w:rsidRPr="00004E3D">
        <w:rPr>
          <w:rFonts w:cs="TTEDt00"/>
          <w:color w:val="000000"/>
        </w:rPr>
        <w:t>lan provide a general framework, but not necessarily the detailed treatment</w:t>
      </w:r>
      <w:r>
        <w:rPr>
          <w:rFonts w:cs="TTEDt00"/>
          <w:color w:val="000000"/>
        </w:rPr>
        <w:t xml:space="preserve"> </w:t>
      </w:r>
      <w:r w:rsidRPr="00004E3D">
        <w:rPr>
          <w:rFonts w:cs="TTEDt00"/>
          <w:color w:val="000000"/>
        </w:rPr>
        <w:t>required for significant proposals in certain areas. Local Area Plans have proven successful in the</w:t>
      </w:r>
      <w:r>
        <w:rPr>
          <w:rFonts w:cs="TTEDt00"/>
          <w:color w:val="000000"/>
        </w:rPr>
        <w:t xml:space="preserve"> </w:t>
      </w:r>
      <w:r w:rsidR="006B039D">
        <w:rPr>
          <w:rFonts w:cs="TTEDt00"/>
          <w:color w:val="000000"/>
        </w:rPr>
        <w:t xml:space="preserve">detailed implementation of </w:t>
      </w:r>
      <w:r w:rsidR="000F0B95">
        <w:rPr>
          <w:rFonts w:cs="TTEDt00"/>
          <w:color w:val="000000"/>
        </w:rPr>
        <w:t>P</w:t>
      </w:r>
      <w:r w:rsidRPr="00004E3D">
        <w:rPr>
          <w:rFonts w:cs="TTEDt00"/>
          <w:color w:val="000000"/>
        </w:rPr>
        <w:t>lan policies and objectives.</w:t>
      </w:r>
    </w:p>
    <w:p w:rsidR="00A84868" w:rsidRDefault="00A84868" w:rsidP="006E2146">
      <w:pPr>
        <w:tabs>
          <w:tab w:val="left" w:pos="720"/>
        </w:tabs>
        <w:spacing w:afterLines="200"/>
        <w:jc w:val="both"/>
        <w:rPr>
          <w:rFonts w:cstheme="minorHAnsi"/>
          <w:bCs/>
          <w:iCs/>
          <w:color w:val="F79646" w:themeColor="accent6"/>
          <w:sz w:val="24"/>
          <w:szCs w:val="24"/>
        </w:rPr>
      </w:pPr>
      <w:r>
        <w:rPr>
          <w:rFonts w:cstheme="minorHAnsi"/>
          <w:bCs/>
          <w:iCs/>
          <w:color w:val="F79646" w:themeColor="accent6"/>
          <w:sz w:val="24"/>
          <w:szCs w:val="24"/>
        </w:rPr>
        <w:t>Phasing</w:t>
      </w:r>
    </w:p>
    <w:p w:rsidR="00004E3D" w:rsidRPr="00A84868" w:rsidRDefault="00004E3D" w:rsidP="006E2146">
      <w:pPr>
        <w:tabs>
          <w:tab w:val="left" w:pos="720"/>
        </w:tabs>
        <w:spacing w:afterLines="200"/>
        <w:jc w:val="both"/>
        <w:rPr>
          <w:rFonts w:cstheme="minorHAnsi"/>
          <w:bCs/>
          <w:iCs/>
          <w:color w:val="F79646" w:themeColor="accent6"/>
          <w:sz w:val="24"/>
          <w:szCs w:val="24"/>
        </w:rPr>
      </w:pPr>
      <w:r w:rsidRPr="00004E3D">
        <w:rPr>
          <w:rFonts w:cs="TTEDt00"/>
          <w:color w:val="000000"/>
        </w:rPr>
        <w:t>It</w:t>
      </w:r>
      <w:r w:rsidR="00DE6953">
        <w:rPr>
          <w:rFonts w:cs="TTEDt00"/>
          <w:color w:val="000000"/>
        </w:rPr>
        <w:t xml:space="preserve"> is an objective of the</w:t>
      </w:r>
      <w:r w:rsidRPr="00004E3D">
        <w:rPr>
          <w:rFonts w:cs="TTEDt00"/>
          <w:color w:val="000000"/>
        </w:rPr>
        <w:t xml:space="preserve"> Council to promote the i</w:t>
      </w:r>
      <w:r w:rsidR="00D625FE">
        <w:rPr>
          <w:rFonts w:cs="TTEDt00"/>
          <w:color w:val="000000"/>
        </w:rPr>
        <w:t>mplementation of the</w:t>
      </w:r>
      <w:r w:rsidRPr="00004E3D">
        <w:rPr>
          <w:rFonts w:cs="TTEDt00"/>
          <w:color w:val="000000"/>
        </w:rPr>
        <w:t xml:space="preserve"> Plan</w:t>
      </w:r>
      <w:r>
        <w:rPr>
          <w:rFonts w:cs="TTEDt00"/>
          <w:color w:val="000000"/>
        </w:rPr>
        <w:t xml:space="preserve"> </w:t>
      </w:r>
      <w:r w:rsidRPr="00004E3D">
        <w:rPr>
          <w:rFonts w:cs="TTEDt00"/>
          <w:color w:val="000000"/>
        </w:rPr>
        <w:t>in a rational and sequential approach that is in keeping with the proposed development strategy.</w:t>
      </w:r>
      <w:r>
        <w:rPr>
          <w:rFonts w:cs="TTEDt00"/>
          <w:color w:val="000000"/>
        </w:rPr>
        <w:t xml:space="preserve"> </w:t>
      </w:r>
      <w:r w:rsidRPr="00004E3D">
        <w:rPr>
          <w:rFonts w:cs="TTEDt00"/>
          <w:color w:val="000000"/>
        </w:rPr>
        <w:t>It is also an objective of the Council to ensure that essential facilities (such as road infrastructure,</w:t>
      </w:r>
      <w:r>
        <w:rPr>
          <w:rFonts w:cs="TTEDt00"/>
          <w:color w:val="000000"/>
        </w:rPr>
        <w:t xml:space="preserve"> </w:t>
      </w:r>
      <w:r w:rsidR="00CB0C62">
        <w:rPr>
          <w:rFonts w:cs="TTEDt00"/>
          <w:color w:val="000000"/>
        </w:rPr>
        <w:t xml:space="preserve">water, sewerage and </w:t>
      </w:r>
      <w:r w:rsidR="00C86BBA">
        <w:rPr>
          <w:rFonts w:cs="TTEDt00"/>
          <w:color w:val="000000"/>
        </w:rPr>
        <w:t xml:space="preserve">surface </w:t>
      </w:r>
      <w:r w:rsidRPr="00004E3D">
        <w:rPr>
          <w:rFonts w:cs="TTEDt00"/>
          <w:color w:val="000000"/>
        </w:rPr>
        <w:t>water</w:t>
      </w:r>
      <w:r w:rsidR="00C86BBA">
        <w:rPr>
          <w:rFonts w:cs="TTEDt00"/>
          <w:color w:val="000000"/>
        </w:rPr>
        <w:t xml:space="preserve"> drainage systems</w:t>
      </w:r>
      <w:r w:rsidRPr="00004E3D">
        <w:rPr>
          <w:rFonts w:cs="TTEDt00"/>
          <w:color w:val="000000"/>
        </w:rPr>
        <w:t xml:space="preserve">, etc.) are secured and provided in </w:t>
      </w:r>
      <w:r w:rsidR="006B039D">
        <w:rPr>
          <w:rFonts w:cs="TTEDt00"/>
          <w:color w:val="000000"/>
        </w:rPr>
        <w:t xml:space="preserve">a timely manner and in </w:t>
      </w:r>
      <w:r w:rsidRPr="00004E3D">
        <w:rPr>
          <w:rFonts w:cs="TTEDt00"/>
          <w:color w:val="000000"/>
        </w:rPr>
        <w:t>ta</w:t>
      </w:r>
      <w:r w:rsidR="00C86BBA">
        <w:rPr>
          <w:rFonts w:cs="TTEDt00"/>
          <w:color w:val="000000"/>
        </w:rPr>
        <w:t>ndem with proposed developments</w:t>
      </w:r>
      <w:r w:rsidRPr="00004E3D">
        <w:rPr>
          <w:rFonts w:cs="TTEDt00"/>
          <w:color w:val="000000"/>
        </w:rPr>
        <w:t>.</w:t>
      </w:r>
    </w:p>
    <w:p w:rsidR="00A84868" w:rsidRPr="00A84868" w:rsidRDefault="00A84868" w:rsidP="006E2146">
      <w:pPr>
        <w:tabs>
          <w:tab w:val="left" w:pos="720"/>
        </w:tabs>
        <w:spacing w:afterLines="200"/>
        <w:jc w:val="both"/>
        <w:rPr>
          <w:rFonts w:cstheme="minorHAnsi"/>
          <w:bCs/>
          <w:iCs/>
          <w:color w:val="F79646" w:themeColor="accent6"/>
          <w:sz w:val="28"/>
          <w:szCs w:val="28"/>
        </w:rPr>
      </w:pPr>
      <w:r w:rsidRPr="00A84868">
        <w:rPr>
          <w:rFonts w:cstheme="minorHAnsi"/>
          <w:bCs/>
          <w:iCs/>
          <w:color w:val="F79646" w:themeColor="accent6"/>
          <w:sz w:val="28"/>
          <w:szCs w:val="28"/>
        </w:rPr>
        <w:t>Sources of Funding</w:t>
      </w:r>
    </w:p>
    <w:p w:rsidR="00A84868" w:rsidRDefault="00A84868" w:rsidP="006E2146">
      <w:pPr>
        <w:tabs>
          <w:tab w:val="left" w:pos="720"/>
        </w:tabs>
        <w:spacing w:afterLines="200"/>
        <w:jc w:val="both"/>
        <w:rPr>
          <w:rFonts w:cstheme="minorHAnsi"/>
          <w:bCs/>
          <w:iCs/>
          <w:color w:val="F79646" w:themeColor="accent6"/>
          <w:sz w:val="24"/>
          <w:szCs w:val="24"/>
        </w:rPr>
      </w:pPr>
      <w:r>
        <w:rPr>
          <w:rFonts w:cstheme="minorHAnsi"/>
          <w:bCs/>
          <w:iCs/>
          <w:color w:val="F79646" w:themeColor="accent6"/>
          <w:sz w:val="24"/>
          <w:szCs w:val="24"/>
        </w:rPr>
        <w:t>Public Private Partnerships</w:t>
      </w:r>
    </w:p>
    <w:p w:rsidR="00004E3D" w:rsidRPr="000F68D8" w:rsidRDefault="00004E3D" w:rsidP="006E2146">
      <w:pPr>
        <w:autoSpaceDE w:val="0"/>
        <w:autoSpaceDN w:val="0"/>
        <w:adjustRightInd w:val="0"/>
        <w:spacing w:afterLines="200" w:line="240" w:lineRule="auto"/>
        <w:jc w:val="both"/>
        <w:rPr>
          <w:rFonts w:cs="TTEDt00"/>
          <w:color w:val="000000"/>
        </w:rPr>
      </w:pPr>
      <w:r w:rsidRPr="00004E3D">
        <w:rPr>
          <w:rFonts w:cs="TTEDt00"/>
          <w:color w:val="000000"/>
        </w:rPr>
        <w:t>A Public Private Partnership (PPP) involves a partnership agreement between the public and</w:t>
      </w:r>
      <w:r w:rsidR="00C86BBA">
        <w:rPr>
          <w:rFonts w:cs="TTEDt00"/>
          <w:color w:val="000000"/>
        </w:rPr>
        <w:t xml:space="preserve"> private </w:t>
      </w:r>
      <w:r w:rsidRPr="00004E3D">
        <w:rPr>
          <w:rFonts w:cs="TTEDt00"/>
          <w:color w:val="000000"/>
        </w:rPr>
        <w:t>sector for the delivery of specific projects relating to public services and infrastructure.</w:t>
      </w:r>
      <w:r w:rsidR="00C86BBA">
        <w:rPr>
          <w:rFonts w:cs="TTEDt00"/>
          <w:color w:val="000000"/>
        </w:rPr>
        <w:t xml:space="preserve"> Such an </w:t>
      </w:r>
      <w:r w:rsidRPr="00004E3D">
        <w:rPr>
          <w:rFonts w:cs="TTEDt00"/>
          <w:color w:val="000000"/>
        </w:rPr>
        <w:t>approach can ensure a commitment to funding due to interlinked public and private</w:t>
      </w:r>
      <w:r w:rsidR="00C86BBA">
        <w:rPr>
          <w:rFonts w:cs="TTEDt00"/>
          <w:color w:val="000000"/>
        </w:rPr>
        <w:t xml:space="preserve"> </w:t>
      </w:r>
      <w:r w:rsidRPr="00004E3D">
        <w:rPr>
          <w:rFonts w:cs="TTEDt00"/>
          <w:color w:val="000000"/>
        </w:rPr>
        <w:t>assistance, and aims at ensuring the most economically efficient manner of development.</w:t>
      </w:r>
      <w:r w:rsidR="00C86BBA">
        <w:rPr>
          <w:rFonts w:cs="TTEDt00"/>
          <w:color w:val="000000"/>
        </w:rPr>
        <w:t xml:space="preserve"> </w:t>
      </w:r>
      <w:r w:rsidRPr="00004E3D">
        <w:rPr>
          <w:rFonts w:cs="TTEDt00"/>
          <w:color w:val="000000"/>
        </w:rPr>
        <w:t>Education, local services, health, housing, public transport, roads, solid waste, water/waste water</w:t>
      </w:r>
      <w:r w:rsidR="00C86BBA">
        <w:rPr>
          <w:rFonts w:cs="TTEDt00"/>
          <w:color w:val="000000"/>
        </w:rPr>
        <w:t xml:space="preserve"> </w:t>
      </w:r>
      <w:r w:rsidRPr="00004E3D">
        <w:rPr>
          <w:rFonts w:cs="TTEDt00"/>
          <w:color w:val="000000"/>
        </w:rPr>
        <w:t>and other public services can benefit from the approach of a PPP. Other partnership approaches</w:t>
      </w:r>
      <w:r w:rsidR="00C86BBA">
        <w:rPr>
          <w:rFonts w:cs="TTEDt00"/>
          <w:color w:val="000000"/>
        </w:rPr>
        <w:t xml:space="preserve"> </w:t>
      </w:r>
      <w:r w:rsidRPr="00004E3D">
        <w:rPr>
          <w:rFonts w:cs="TTEDt00"/>
          <w:color w:val="000000"/>
        </w:rPr>
        <w:t>will be pursued with state and public organisations.</w:t>
      </w:r>
    </w:p>
    <w:p w:rsidR="00A84868" w:rsidRDefault="00A84868" w:rsidP="006E2146">
      <w:pPr>
        <w:tabs>
          <w:tab w:val="left" w:pos="720"/>
        </w:tabs>
        <w:spacing w:afterLines="200"/>
        <w:jc w:val="both"/>
        <w:rPr>
          <w:rFonts w:cstheme="minorHAnsi"/>
          <w:bCs/>
          <w:iCs/>
          <w:color w:val="F79646" w:themeColor="accent6"/>
          <w:sz w:val="24"/>
          <w:szCs w:val="24"/>
        </w:rPr>
      </w:pPr>
      <w:r w:rsidRPr="00A84868">
        <w:rPr>
          <w:rFonts w:cstheme="minorHAnsi"/>
          <w:bCs/>
          <w:iCs/>
          <w:color w:val="F79646" w:themeColor="accent6"/>
          <w:sz w:val="24"/>
          <w:szCs w:val="24"/>
        </w:rPr>
        <w:t>A</w:t>
      </w:r>
      <w:r>
        <w:rPr>
          <w:rFonts w:cstheme="minorHAnsi"/>
          <w:bCs/>
          <w:iCs/>
          <w:color w:val="F79646" w:themeColor="accent6"/>
          <w:sz w:val="24"/>
          <w:szCs w:val="24"/>
        </w:rPr>
        <w:t>dditional Funding Sources</w:t>
      </w:r>
    </w:p>
    <w:p w:rsidR="00004E3D" w:rsidRDefault="00004E3D" w:rsidP="006E2146">
      <w:pPr>
        <w:tabs>
          <w:tab w:val="left" w:pos="720"/>
        </w:tabs>
        <w:spacing w:afterLines="200"/>
        <w:jc w:val="both"/>
        <w:rPr>
          <w:rFonts w:cs="Lato-Regular"/>
          <w:i/>
          <w:color w:val="0D0D0D"/>
        </w:rPr>
      </w:pPr>
      <w:r w:rsidRPr="00004E3D">
        <w:rPr>
          <w:rFonts w:cs="TTEDt00"/>
          <w:color w:val="000000"/>
        </w:rPr>
        <w:lastRenderedPageBreak/>
        <w:t>It is considered reasonable that contributions be paid towards Local Authority investment in the</w:t>
      </w:r>
      <w:r w:rsidR="00C86BBA">
        <w:rPr>
          <w:rFonts w:cs="TTEDt00"/>
          <w:color w:val="000000"/>
        </w:rPr>
        <w:t xml:space="preserve"> </w:t>
      </w:r>
      <w:r w:rsidRPr="00004E3D">
        <w:rPr>
          <w:rFonts w:cs="TTEDt00"/>
          <w:color w:val="000000"/>
        </w:rPr>
        <w:t>provision of infrastructure and services by developers who benefit from such provision. Additional</w:t>
      </w:r>
      <w:r w:rsidR="00C86BBA">
        <w:rPr>
          <w:rFonts w:cs="TTEDt00"/>
          <w:color w:val="000000"/>
        </w:rPr>
        <w:t xml:space="preserve"> </w:t>
      </w:r>
      <w:r w:rsidR="00416CE8">
        <w:rPr>
          <w:rFonts w:cs="TTEDt00"/>
          <w:color w:val="000000"/>
        </w:rPr>
        <w:t>N</w:t>
      </w:r>
      <w:r w:rsidRPr="00004E3D">
        <w:rPr>
          <w:rFonts w:cs="TTEDt00"/>
          <w:color w:val="000000"/>
        </w:rPr>
        <w:t>ational and E</w:t>
      </w:r>
      <w:r w:rsidR="00E208A0">
        <w:rPr>
          <w:rFonts w:cs="TTEDt00"/>
          <w:color w:val="000000"/>
        </w:rPr>
        <w:t>U level</w:t>
      </w:r>
      <w:r w:rsidR="00D839B5">
        <w:rPr>
          <w:rFonts w:cs="TTEDt00"/>
          <w:color w:val="000000"/>
        </w:rPr>
        <w:t xml:space="preserve"> programmes include the designated urban centre grant scheme 2014-2020</w:t>
      </w:r>
      <w:r w:rsidRPr="00004E3D">
        <w:rPr>
          <w:rFonts w:cs="TTEDt00"/>
          <w:color w:val="000000"/>
        </w:rPr>
        <w:t xml:space="preserve">, the </w:t>
      </w:r>
      <w:r w:rsidR="00D839B5">
        <w:rPr>
          <w:rFonts w:cs="TTEDt00"/>
          <w:color w:val="000000"/>
        </w:rPr>
        <w:t>Re-building Ireland Action Plan</w:t>
      </w:r>
      <w:r w:rsidRPr="00004E3D">
        <w:rPr>
          <w:rFonts w:cs="TTEDt00"/>
          <w:color w:val="000000"/>
        </w:rPr>
        <w:t>, the</w:t>
      </w:r>
      <w:r w:rsidR="00C86BBA">
        <w:rPr>
          <w:rFonts w:cs="TTEDt00"/>
          <w:color w:val="000000"/>
        </w:rPr>
        <w:t xml:space="preserve"> </w:t>
      </w:r>
      <w:proofErr w:type="spellStart"/>
      <w:r w:rsidRPr="00004E3D">
        <w:rPr>
          <w:rFonts w:cs="TTEDt00"/>
          <w:color w:val="000000"/>
        </w:rPr>
        <w:t>NeighbourWood</w:t>
      </w:r>
      <w:proofErr w:type="spellEnd"/>
      <w:r w:rsidRPr="00004E3D">
        <w:rPr>
          <w:rFonts w:cs="TTEDt00"/>
          <w:color w:val="000000"/>
        </w:rPr>
        <w:t xml:space="preserve"> Scheme, National Lottery Facility Funding, as well as other funding mechanisms</w:t>
      </w:r>
      <w:r w:rsidR="00C86BBA">
        <w:rPr>
          <w:rFonts w:cs="TTEDt00"/>
          <w:color w:val="000000"/>
        </w:rPr>
        <w:t xml:space="preserve"> </w:t>
      </w:r>
      <w:r w:rsidRPr="00004E3D">
        <w:rPr>
          <w:rFonts w:cs="TTEDt00"/>
          <w:color w:val="000000"/>
        </w:rPr>
        <w:t xml:space="preserve">available from the various Government Departments and other agencies. </w:t>
      </w:r>
      <w:r w:rsidR="00541F02" w:rsidRPr="00004E3D">
        <w:rPr>
          <w:rFonts w:cs="TTEDt00"/>
          <w:color w:val="000000"/>
        </w:rPr>
        <w:t>Such bodies have</w:t>
      </w:r>
      <w:r w:rsidR="00541F02">
        <w:rPr>
          <w:rFonts w:cs="TTEDt00"/>
          <w:color w:val="000000"/>
        </w:rPr>
        <w:t xml:space="preserve"> </w:t>
      </w:r>
      <w:r w:rsidR="00541F02" w:rsidRPr="00004E3D">
        <w:rPr>
          <w:rFonts w:cs="TTEDt00"/>
          <w:color w:val="000000"/>
        </w:rPr>
        <w:t>varying criteria regarding the type of developments they fund and may be useful to consider in the</w:t>
      </w:r>
      <w:r w:rsidR="00541F02">
        <w:rPr>
          <w:rFonts w:cs="TTEDt00"/>
          <w:color w:val="000000"/>
        </w:rPr>
        <w:t xml:space="preserve"> </w:t>
      </w:r>
      <w:r w:rsidR="00541F02" w:rsidRPr="00004E3D">
        <w:rPr>
          <w:rFonts w:cs="TTEDt00"/>
          <w:color w:val="000000"/>
        </w:rPr>
        <w:t>achievement of development objectives.</w:t>
      </w:r>
      <w:r w:rsidR="00541F02">
        <w:rPr>
          <w:rFonts w:cs="TTEDt00"/>
          <w:color w:val="000000"/>
        </w:rPr>
        <w:t xml:space="preserve"> </w:t>
      </w:r>
      <w:r w:rsidR="00541F02">
        <w:rPr>
          <w:rFonts w:cs="Lato-Regular"/>
          <w:color w:val="0D0D0D"/>
        </w:rPr>
        <w:t>T</w:t>
      </w:r>
      <w:r w:rsidR="00541F02" w:rsidRPr="00541F02">
        <w:rPr>
          <w:rFonts w:cs="Lato-Regular"/>
          <w:color w:val="0D0D0D"/>
        </w:rPr>
        <w:t xml:space="preserve">he Rural </w:t>
      </w:r>
      <w:r w:rsidR="00541F02">
        <w:rPr>
          <w:rFonts w:cs="Lato-Regular"/>
          <w:color w:val="0D0D0D"/>
        </w:rPr>
        <w:t xml:space="preserve">and Urban </w:t>
      </w:r>
      <w:r w:rsidR="00541F02" w:rsidRPr="00541F02">
        <w:rPr>
          <w:rFonts w:cs="Lato-Regular"/>
          <w:color w:val="0D0D0D"/>
        </w:rPr>
        <w:t>Regeneration and Development Fund</w:t>
      </w:r>
      <w:r w:rsidR="00541F02">
        <w:rPr>
          <w:rFonts w:cs="Lato-Regular"/>
          <w:color w:val="0D0D0D"/>
        </w:rPr>
        <w:t>s</w:t>
      </w:r>
      <w:r w:rsidR="00541F02" w:rsidRPr="00541F02">
        <w:rPr>
          <w:rFonts w:cs="Lato-Regular"/>
          <w:color w:val="0D0D0D"/>
        </w:rPr>
        <w:t xml:space="preserve"> arising from the National Development Plan in support of the National Planning Framework and other national strategies </w:t>
      </w:r>
      <w:r w:rsidR="00541F02">
        <w:rPr>
          <w:rFonts w:cs="Lato-Regular"/>
          <w:color w:val="0D0D0D"/>
        </w:rPr>
        <w:t>are available to</w:t>
      </w:r>
      <w:r w:rsidR="00541F02" w:rsidRPr="00541F02">
        <w:rPr>
          <w:rFonts w:cs="Lato-Regular"/>
          <w:color w:val="0D0D0D"/>
        </w:rPr>
        <w:t xml:space="preserve"> support </w:t>
      </w:r>
      <w:r w:rsidR="00541F02">
        <w:rPr>
          <w:rFonts w:cs="Lato-Regular"/>
          <w:color w:val="0D0D0D"/>
        </w:rPr>
        <w:t xml:space="preserve">the implementation of </w:t>
      </w:r>
      <w:r w:rsidR="00541F02" w:rsidRPr="00541F02">
        <w:rPr>
          <w:rFonts w:cs="Lato-Regular"/>
          <w:color w:val="0D0D0D"/>
        </w:rPr>
        <w:t>regional and local authority development plans and local economic and community plan</w:t>
      </w:r>
      <w:r w:rsidR="00541F02">
        <w:rPr>
          <w:rFonts w:cs="Lato-Regular"/>
          <w:color w:val="0D0D0D"/>
        </w:rPr>
        <w:t xml:space="preserve"> objectives</w:t>
      </w:r>
      <w:r w:rsidR="00541F02">
        <w:rPr>
          <w:rFonts w:cs="Lato-Regular"/>
          <w:i/>
          <w:color w:val="0D0D0D"/>
        </w:rPr>
        <w:t xml:space="preserve">. </w:t>
      </w:r>
    </w:p>
    <w:p w:rsidR="00D77ED4" w:rsidRPr="004D7D58" w:rsidRDefault="00D77ED4" w:rsidP="006E2146">
      <w:pPr>
        <w:tabs>
          <w:tab w:val="left" w:pos="720"/>
        </w:tabs>
        <w:spacing w:afterLines="200"/>
        <w:jc w:val="both"/>
        <w:rPr>
          <w:rFonts w:cstheme="minorHAnsi"/>
          <w:bCs/>
          <w:iCs/>
          <w:color w:val="F79646" w:themeColor="accent6"/>
          <w:sz w:val="24"/>
          <w:szCs w:val="24"/>
        </w:rPr>
      </w:pPr>
      <w:r w:rsidRPr="004D7D58">
        <w:rPr>
          <w:rFonts w:cstheme="minorHAnsi"/>
          <w:bCs/>
          <w:iCs/>
          <w:color w:val="F79646" w:themeColor="accent6"/>
          <w:sz w:val="24"/>
          <w:szCs w:val="24"/>
        </w:rPr>
        <w:t>Project Ireland 2040</w:t>
      </w:r>
    </w:p>
    <w:p w:rsidR="00D77ED4" w:rsidRPr="004D7D58" w:rsidRDefault="00D77ED4" w:rsidP="006E2146">
      <w:pPr>
        <w:tabs>
          <w:tab w:val="left" w:pos="720"/>
        </w:tabs>
        <w:spacing w:afterLines="200"/>
        <w:jc w:val="both"/>
      </w:pPr>
      <w:r w:rsidRPr="004D7D58">
        <w:t>For the first time in Irish history</w:t>
      </w:r>
      <w:r w:rsidR="006B5187" w:rsidRPr="004D7D58">
        <w:t>,</w:t>
      </w:r>
      <w:r w:rsidRPr="004D7D58">
        <w:t xml:space="preserve"> planning and investment are intrinsically linked within Project Ireland 2040 and through the simultaneous publication of the National Planning Framework and the National Development Plan, to provide for Government policy and investment to facilitate social and economic progress into the future. The total investment of almost €116 billion under the National Development Plan (NDP) is designed to meet Ireland’s infrastructure and investment needs over the ten years from 2018 to 2027, with strategic investment priorities aligned to each of the ten National Strategic Outcomes (NSOs) set out within the NPF. The NDP provides for five-year multi-annual capital allocations, which will facilitate departments in planning their investment programmes over the medium term. </w:t>
      </w:r>
    </w:p>
    <w:p w:rsidR="00D77ED4" w:rsidRPr="004D7D58" w:rsidRDefault="00D77ED4" w:rsidP="006E2146">
      <w:pPr>
        <w:tabs>
          <w:tab w:val="left" w:pos="720"/>
        </w:tabs>
        <w:spacing w:afterLines="200"/>
        <w:jc w:val="both"/>
        <w:rPr>
          <w:rFonts w:cstheme="minorHAnsi"/>
          <w:bCs/>
          <w:iCs/>
          <w:color w:val="F79646" w:themeColor="accent6"/>
          <w:sz w:val="24"/>
          <w:szCs w:val="24"/>
        </w:rPr>
      </w:pPr>
      <w:r w:rsidRPr="004D7D58">
        <w:rPr>
          <w:rFonts w:cstheme="minorHAnsi"/>
          <w:bCs/>
          <w:iCs/>
          <w:color w:val="F79646" w:themeColor="accent6"/>
          <w:sz w:val="24"/>
          <w:szCs w:val="24"/>
        </w:rPr>
        <w:t>Urban Regeneration and Development fund</w:t>
      </w:r>
    </w:p>
    <w:p w:rsidR="00D77ED4" w:rsidRPr="004D7D58" w:rsidRDefault="00D77ED4" w:rsidP="006E2146">
      <w:pPr>
        <w:tabs>
          <w:tab w:val="left" w:pos="720"/>
        </w:tabs>
        <w:spacing w:afterLines="200"/>
        <w:jc w:val="both"/>
      </w:pPr>
      <w:r w:rsidRPr="004D7D58">
        <w:t>As part of Project Ireland 2040, the Government announced the establishment of a new Urban Regeneration and Development Fund (URDF), primarily to support the compact growth and sustainable development of Ireland’s five cities and other large urban centres. In the first instance, the Department of Housing, Planning and Local Government (DHPLG) has responsibility for implementing the URDF, which has an allocation of €2 billion in the National Development Plan (NDP) to 2027</w:t>
      </w:r>
      <w:r w:rsidR="00E55C5B" w:rsidRPr="004D7D58">
        <w:t xml:space="preserve"> available for investment in higher tier settlements</w:t>
      </w:r>
      <w:r w:rsidRPr="004D7D58">
        <w:t>. In line with the objectives of the National</w:t>
      </w:r>
      <w:r w:rsidR="006B5187" w:rsidRPr="004D7D58">
        <w:t xml:space="preserve"> Planning Framework (NPF), the f</w:t>
      </w:r>
      <w:r w:rsidRPr="004D7D58">
        <w:t>und is designed to leverage a greater proportion of residential and commercial development, supported by infrastructure, services and amenities, within the existing built ‘footprint’ of our larger settlements. Within the EMRA Region</w:t>
      </w:r>
      <w:r w:rsidR="006B5187" w:rsidRPr="004D7D58">
        <w:t>,</w:t>
      </w:r>
      <w:r w:rsidRPr="004D7D58">
        <w:t xml:space="preserve"> the Urban fund applies to Dublin City and the Metropolitan Area</w:t>
      </w:r>
      <w:r w:rsidR="001E6FFB" w:rsidRPr="004D7D58">
        <w:t xml:space="preserve"> (including </w:t>
      </w:r>
      <w:proofErr w:type="spellStart"/>
      <w:r w:rsidR="001E6FFB" w:rsidRPr="004D7D58">
        <w:t>Dunboyne</w:t>
      </w:r>
      <w:proofErr w:type="spellEnd"/>
      <w:r w:rsidR="001E6FFB" w:rsidRPr="004D7D58">
        <w:t xml:space="preserve">, </w:t>
      </w:r>
      <w:proofErr w:type="spellStart"/>
      <w:r w:rsidR="001E6FFB" w:rsidRPr="004D7D58">
        <w:t>Maynooth</w:t>
      </w:r>
      <w:proofErr w:type="spellEnd"/>
      <w:r w:rsidR="001E6FFB" w:rsidRPr="004D7D58">
        <w:t xml:space="preserve"> and </w:t>
      </w:r>
      <w:proofErr w:type="spellStart"/>
      <w:r w:rsidR="001E6FFB" w:rsidRPr="004D7D58">
        <w:t>Kilcock</w:t>
      </w:r>
      <w:proofErr w:type="spellEnd"/>
      <w:r w:rsidR="001E6FFB" w:rsidRPr="004D7D58">
        <w:t xml:space="preserve"> Environs)</w:t>
      </w:r>
      <w:r w:rsidRPr="004D7D58">
        <w:t xml:space="preserve">, the Key Regional Growth Centres of </w:t>
      </w:r>
      <w:proofErr w:type="spellStart"/>
      <w:r w:rsidRPr="004D7D58">
        <w:t>Athlone</w:t>
      </w:r>
      <w:proofErr w:type="spellEnd"/>
      <w:r w:rsidRPr="004D7D58">
        <w:t>, Dundalk and Drogheda</w:t>
      </w:r>
      <w:r w:rsidR="006B5187" w:rsidRPr="004D7D58">
        <w:t xml:space="preserve"> (including the southern environs within the administrative boundary of Meath)</w:t>
      </w:r>
      <w:r w:rsidRPr="004D7D58">
        <w:t xml:space="preserve">, towns with a population of more than 10,000 </w:t>
      </w:r>
      <w:r w:rsidR="001E6FFB" w:rsidRPr="004D7D58">
        <w:t>includ</w:t>
      </w:r>
      <w:r w:rsidR="006B5187" w:rsidRPr="004D7D58">
        <w:t xml:space="preserve">ing </w:t>
      </w:r>
      <w:r w:rsidR="00E55C5B" w:rsidRPr="004D7D58">
        <w:t xml:space="preserve">the Key Town of </w:t>
      </w:r>
      <w:r w:rsidR="006B5187" w:rsidRPr="004D7D58">
        <w:t xml:space="preserve">Navan </w:t>
      </w:r>
      <w:r w:rsidR="001E6FFB" w:rsidRPr="004D7D58">
        <w:t xml:space="preserve">and </w:t>
      </w:r>
      <w:r w:rsidR="00E55C5B" w:rsidRPr="004D7D58">
        <w:t xml:space="preserve">the self-sustaining towns of </w:t>
      </w:r>
      <w:proofErr w:type="spellStart"/>
      <w:r w:rsidR="00E55C5B" w:rsidRPr="004D7D58">
        <w:t>Ashbourne</w:t>
      </w:r>
      <w:proofErr w:type="spellEnd"/>
      <w:r w:rsidR="001E6FFB" w:rsidRPr="004D7D58">
        <w:t xml:space="preserve"> </w:t>
      </w:r>
      <w:r w:rsidRPr="004D7D58">
        <w:t xml:space="preserve">and Trim (as a town of fewer than 10,000 people but with more than 2,500 jobs). </w:t>
      </w:r>
    </w:p>
    <w:p w:rsidR="00A80ED6" w:rsidRPr="004D7D58" w:rsidRDefault="00A80ED6" w:rsidP="006E2146">
      <w:pPr>
        <w:tabs>
          <w:tab w:val="left" w:pos="720"/>
        </w:tabs>
        <w:spacing w:afterLines="200"/>
        <w:jc w:val="both"/>
        <w:rPr>
          <w:rFonts w:cstheme="minorHAnsi"/>
          <w:bCs/>
          <w:iCs/>
          <w:color w:val="F79646" w:themeColor="accent6"/>
          <w:sz w:val="24"/>
          <w:szCs w:val="24"/>
        </w:rPr>
      </w:pPr>
      <w:r w:rsidRPr="004D7D58">
        <w:rPr>
          <w:rFonts w:cstheme="minorHAnsi"/>
          <w:bCs/>
          <w:iCs/>
          <w:color w:val="F79646" w:themeColor="accent6"/>
          <w:sz w:val="24"/>
          <w:szCs w:val="24"/>
        </w:rPr>
        <w:t>Rural Regeneration and Development fund</w:t>
      </w:r>
    </w:p>
    <w:p w:rsidR="00A80ED6" w:rsidRPr="004D7D58" w:rsidRDefault="00EC0727" w:rsidP="006E2146">
      <w:pPr>
        <w:tabs>
          <w:tab w:val="left" w:pos="720"/>
        </w:tabs>
        <w:spacing w:afterLines="200"/>
        <w:jc w:val="both"/>
        <w:rPr>
          <w:rFonts w:cstheme="minorHAnsi"/>
          <w:bCs/>
          <w:iCs/>
          <w:color w:val="F79646" w:themeColor="accent6"/>
          <w:sz w:val="24"/>
          <w:szCs w:val="24"/>
        </w:rPr>
      </w:pPr>
      <w:r w:rsidRPr="004D7D58">
        <w:lastRenderedPageBreak/>
        <w:t>Under the Rural Regeneration and Development Fund t</w:t>
      </w:r>
      <w:r w:rsidR="00A80ED6" w:rsidRPr="004D7D58">
        <w:t xml:space="preserve">he Government has committed to providing an additional €1 billion </w:t>
      </w:r>
      <w:r w:rsidRPr="004D7D58">
        <w:t xml:space="preserve">euro investment </w:t>
      </w:r>
      <w:r w:rsidR="00A80ED6" w:rsidRPr="004D7D58">
        <w:t xml:space="preserve">over the period 2019 to 2027. The Fund provides investment to support rural renewal for suitable projects in towns and villages with a population of less than 10,000, and outlying areas. It is administered by the Department of Rural and Community Development. This Fund aims to support sustainable community and economic development in rural Ireland, including through regenerating smaller towns and villages and encouraging entrepreneurship and innovation to support job creation in rural areas. It will be a key instrument to support the objectives of the National Planning Framework, and in particular to achieve Strengthened Rural Economies and Communities – one of the NSOs of the NPF. The Fund will support ambitious and strategic projects which contribute to sustainable rural regeneration and development. It will support investments of scale which would not otherwise be delivered without the </w:t>
      </w:r>
      <w:r w:rsidRPr="004D7D58">
        <w:t>f</w:t>
      </w:r>
      <w:r w:rsidR="00A80ED6" w:rsidRPr="004D7D58">
        <w:t xml:space="preserve">und, and projects that are outside the scope of </w:t>
      </w:r>
      <w:r w:rsidRPr="004D7D58">
        <w:t xml:space="preserve">other </w:t>
      </w:r>
      <w:r w:rsidR="00A80ED6" w:rsidRPr="004D7D58">
        <w:t xml:space="preserve">existing </w:t>
      </w:r>
      <w:r w:rsidRPr="004D7D58">
        <w:t>funding streams</w:t>
      </w:r>
      <w:r w:rsidR="00A80ED6" w:rsidRPr="004D7D58">
        <w:t>.</w:t>
      </w:r>
    </w:p>
    <w:p w:rsidR="00EC0727" w:rsidRPr="004D7D58" w:rsidRDefault="00EC0727" w:rsidP="006E2146">
      <w:pPr>
        <w:tabs>
          <w:tab w:val="left" w:pos="720"/>
        </w:tabs>
        <w:spacing w:afterLines="200"/>
        <w:jc w:val="both"/>
        <w:rPr>
          <w:rFonts w:cstheme="minorHAnsi"/>
          <w:bCs/>
          <w:iCs/>
          <w:color w:val="F79646" w:themeColor="accent6"/>
          <w:sz w:val="24"/>
          <w:szCs w:val="24"/>
        </w:rPr>
      </w:pPr>
      <w:r w:rsidRPr="004D7D58">
        <w:rPr>
          <w:rFonts w:cstheme="minorHAnsi"/>
          <w:bCs/>
          <w:iCs/>
          <w:color w:val="F79646" w:themeColor="accent6"/>
          <w:sz w:val="24"/>
          <w:szCs w:val="24"/>
        </w:rPr>
        <w:t>Climate Action Fund</w:t>
      </w:r>
    </w:p>
    <w:p w:rsidR="00A80ED6" w:rsidRPr="004D7D58" w:rsidRDefault="00EC0727" w:rsidP="006E2146">
      <w:pPr>
        <w:tabs>
          <w:tab w:val="left" w:pos="720"/>
        </w:tabs>
        <w:spacing w:afterLines="200"/>
        <w:jc w:val="both"/>
      </w:pPr>
      <w:r w:rsidRPr="004D7D58">
        <w:t xml:space="preserve">The Climate Action fund, aims to support initiatives that contribute to the achievement of Ireland’s climate and energy targets and will leverage investment by public and private bodies. The fund is being administered by the Department of Communications, Climate Action and Environment. The Fund has an allocation of at least €500m to </w:t>
      </w:r>
      <w:r w:rsidR="00C35FCD" w:rsidRPr="004D7D58">
        <w:t xml:space="preserve">the year </w:t>
      </w:r>
      <w:r w:rsidRPr="004D7D58">
        <w:t xml:space="preserve">2027 and offers the potential for innovative interventions which, in the absence of </w:t>
      </w:r>
      <w:r w:rsidR="00C35FCD" w:rsidRPr="004D7D58">
        <w:t xml:space="preserve">specific </w:t>
      </w:r>
      <w:r w:rsidRPr="004D7D58">
        <w:t xml:space="preserve">support from the Fund, </w:t>
      </w:r>
      <w:r w:rsidR="00C35FCD" w:rsidRPr="004D7D58">
        <w:t>would not otherwise be delivered</w:t>
      </w:r>
      <w:r w:rsidRPr="004D7D58">
        <w:t>. The Fund is planned to have a wide-ranging scope supporting projects that can contribute to Ireland’s climate and energy targets and wider Government policy priorities, including the development of innovative and scalable solutions, projects that generate wider socio-economic benefits and leverage non-exchequer sourced investment.</w:t>
      </w:r>
    </w:p>
    <w:p w:rsidR="00AB2CFA" w:rsidRPr="004D7D58" w:rsidRDefault="00AB2CFA" w:rsidP="006E2146">
      <w:pPr>
        <w:tabs>
          <w:tab w:val="left" w:pos="720"/>
        </w:tabs>
        <w:spacing w:afterLines="200"/>
        <w:jc w:val="both"/>
        <w:rPr>
          <w:rFonts w:cstheme="minorHAnsi"/>
          <w:bCs/>
          <w:iCs/>
          <w:color w:val="F79646" w:themeColor="accent6"/>
          <w:sz w:val="24"/>
          <w:szCs w:val="24"/>
        </w:rPr>
      </w:pPr>
      <w:r w:rsidRPr="004D7D58">
        <w:rPr>
          <w:rFonts w:cstheme="minorHAnsi"/>
          <w:bCs/>
          <w:iCs/>
          <w:color w:val="F79646" w:themeColor="accent6"/>
          <w:sz w:val="24"/>
          <w:szCs w:val="24"/>
        </w:rPr>
        <w:t>Disruptive Technologies Fund</w:t>
      </w:r>
    </w:p>
    <w:p w:rsidR="00A80ED6" w:rsidRPr="00E55C5B" w:rsidRDefault="00AB2CFA" w:rsidP="006E2146">
      <w:pPr>
        <w:tabs>
          <w:tab w:val="left" w:pos="720"/>
        </w:tabs>
        <w:spacing w:afterLines="200"/>
        <w:jc w:val="both"/>
      </w:pPr>
      <w:r w:rsidRPr="004D7D58">
        <w:t xml:space="preserve">The Disruptive Technology Innovation Fund (DTIF) is an initiative which aims to support Ireland’s innovation ecosystem and to drive collaboration between public bodies, research, SMEs and industry. The DTIF is a competitive challenge-based fund for the development, deployment and commercialisation of innovative technology solutions to a broad range of challenge areas including health, services, energy and food and to achieve the NSOs of the NPF. The Fund has an allocation of €500m over ten years and is implemented through the Department of Business Enterprise and Innovation (DBEI) and its agencies working with other research funding bodies. The aim of the DTIF is to build on research and leverage for commercial impact, create new </w:t>
      </w:r>
      <w:r w:rsidR="001C0927" w:rsidRPr="004D7D58">
        <w:t>start-up</w:t>
      </w:r>
      <w:r w:rsidRPr="004D7D58">
        <w:t xml:space="preserve"> companies and prepare Irish enterprises and public bodies to engage in European and global innovation partnerships.</w:t>
      </w:r>
    </w:p>
    <w:p w:rsidR="00541F02" w:rsidRDefault="00A84868" w:rsidP="006E2146">
      <w:pPr>
        <w:tabs>
          <w:tab w:val="left" w:pos="720"/>
        </w:tabs>
        <w:spacing w:afterLines="200"/>
        <w:jc w:val="both"/>
        <w:rPr>
          <w:rFonts w:cstheme="minorHAnsi"/>
          <w:bCs/>
          <w:iCs/>
          <w:color w:val="F79646" w:themeColor="accent6"/>
          <w:sz w:val="24"/>
          <w:szCs w:val="24"/>
        </w:rPr>
      </w:pPr>
      <w:r>
        <w:rPr>
          <w:rFonts w:cstheme="minorHAnsi"/>
          <w:bCs/>
          <w:iCs/>
          <w:color w:val="F79646" w:themeColor="accent6"/>
          <w:sz w:val="24"/>
          <w:szCs w:val="24"/>
        </w:rPr>
        <w:t>Development Contributions</w:t>
      </w:r>
    </w:p>
    <w:p w:rsidR="00004E3D" w:rsidRPr="00541F02" w:rsidRDefault="00D839B5" w:rsidP="006E2146">
      <w:pPr>
        <w:tabs>
          <w:tab w:val="left" w:pos="720"/>
        </w:tabs>
        <w:spacing w:afterLines="200"/>
        <w:jc w:val="both"/>
        <w:rPr>
          <w:rFonts w:cstheme="minorHAnsi"/>
          <w:bCs/>
          <w:iCs/>
          <w:color w:val="F79646" w:themeColor="accent6"/>
          <w:sz w:val="24"/>
          <w:szCs w:val="24"/>
        </w:rPr>
      </w:pPr>
      <w:r>
        <w:rPr>
          <w:rFonts w:cs="TTEDt00"/>
          <w:color w:val="000000"/>
        </w:rPr>
        <w:lastRenderedPageBreak/>
        <w:t xml:space="preserve">The </w:t>
      </w:r>
      <w:r w:rsidR="00004E3D" w:rsidRPr="00004E3D">
        <w:rPr>
          <w:rFonts w:cs="TTEDt00"/>
          <w:color w:val="000000"/>
        </w:rPr>
        <w:t>Council may, when granting planning permission, attach conditions requiring the</w:t>
      </w:r>
      <w:r w:rsidR="00C86BBA">
        <w:rPr>
          <w:rFonts w:cs="TTEDt00"/>
          <w:color w:val="000000"/>
        </w:rPr>
        <w:t xml:space="preserve"> </w:t>
      </w:r>
      <w:r w:rsidR="00004E3D" w:rsidRPr="00004E3D">
        <w:rPr>
          <w:rFonts w:cs="TTEDt00"/>
          <w:color w:val="000000"/>
        </w:rPr>
        <w:t xml:space="preserve">payment of </w:t>
      </w:r>
      <w:r w:rsidR="00416CE8">
        <w:rPr>
          <w:rFonts w:cs="TTEDt00"/>
          <w:color w:val="000000"/>
        </w:rPr>
        <w:t xml:space="preserve">financial </w:t>
      </w:r>
      <w:r w:rsidR="00004E3D" w:rsidRPr="00004E3D">
        <w:rPr>
          <w:rFonts w:cs="TTEDt00"/>
          <w:color w:val="000000"/>
        </w:rPr>
        <w:t>contribution(s) in respect of public infrastructure and facilities, benefiting the</w:t>
      </w:r>
      <w:r w:rsidR="00C86BBA">
        <w:rPr>
          <w:rFonts w:cs="TTEDt00"/>
          <w:color w:val="000000"/>
        </w:rPr>
        <w:t xml:space="preserve"> </w:t>
      </w:r>
      <w:r w:rsidR="00004E3D" w:rsidRPr="00004E3D">
        <w:rPr>
          <w:rFonts w:cs="TTEDt00"/>
          <w:color w:val="000000"/>
        </w:rPr>
        <w:t>development. Details of such contributions must be set out in a Development Contribution</w:t>
      </w:r>
      <w:r w:rsidR="00C86BBA">
        <w:rPr>
          <w:rFonts w:cs="TTEDt00"/>
          <w:color w:val="000000"/>
        </w:rPr>
        <w:t xml:space="preserve"> </w:t>
      </w:r>
      <w:r w:rsidR="00004E3D" w:rsidRPr="00004E3D">
        <w:rPr>
          <w:rFonts w:cs="TTEDt00"/>
          <w:color w:val="000000"/>
        </w:rPr>
        <w:t xml:space="preserve">Scheme. Meath </w:t>
      </w:r>
      <w:r>
        <w:rPr>
          <w:rFonts w:cs="TTEDt00"/>
          <w:color w:val="000000"/>
        </w:rPr>
        <w:t xml:space="preserve">County Council </w:t>
      </w:r>
      <w:r w:rsidR="00004E3D" w:rsidRPr="00004E3D">
        <w:rPr>
          <w:rFonts w:cs="TTEDt00"/>
          <w:color w:val="000000"/>
        </w:rPr>
        <w:t>Devel</w:t>
      </w:r>
      <w:r w:rsidR="00A57E25">
        <w:rPr>
          <w:rFonts w:cs="TTEDt00"/>
          <w:color w:val="000000"/>
        </w:rPr>
        <w:t>opment Contributions Scheme 2016-2021</w:t>
      </w:r>
      <w:r w:rsidR="00004E3D" w:rsidRPr="00004E3D">
        <w:rPr>
          <w:rFonts w:cs="TTEDt00"/>
          <w:color w:val="000000"/>
        </w:rPr>
        <w:t xml:space="preserve"> </w:t>
      </w:r>
      <w:r w:rsidR="00C46E2E">
        <w:rPr>
          <w:rFonts w:cs="TTEDt00"/>
          <w:color w:val="000000"/>
        </w:rPr>
        <w:t xml:space="preserve">(as amended) </w:t>
      </w:r>
      <w:r w:rsidR="00F438E7">
        <w:rPr>
          <w:rFonts w:cs="TTEDt00"/>
          <w:color w:val="000000"/>
        </w:rPr>
        <w:t xml:space="preserve">came into effect in January 2016 </w:t>
      </w:r>
      <w:r w:rsidR="00004E3D" w:rsidRPr="00004E3D">
        <w:rPr>
          <w:rFonts w:cs="TTEDt00"/>
          <w:color w:val="000000"/>
        </w:rPr>
        <w:t xml:space="preserve">and is available to view on </w:t>
      </w:r>
      <w:r>
        <w:rPr>
          <w:rFonts w:cs="TTEDt00"/>
          <w:color w:val="000000"/>
        </w:rPr>
        <w:t xml:space="preserve">the </w:t>
      </w:r>
      <w:r w:rsidR="00004E3D" w:rsidRPr="00004E3D">
        <w:rPr>
          <w:rFonts w:cs="TTEDt00"/>
          <w:color w:val="000000"/>
        </w:rPr>
        <w:t xml:space="preserve">Council’s website </w:t>
      </w:r>
      <w:r w:rsidR="00004E3D" w:rsidRPr="00004E3D">
        <w:rPr>
          <w:rFonts w:cs="TTEDt00"/>
          <w:color w:val="0000FF"/>
        </w:rPr>
        <w:t>www.meath.ie</w:t>
      </w:r>
    </w:p>
    <w:p w:rsidR="00A84868" w:rsidRPr="006700B6" w:rsidRDefault="00A84868" w:rsidP="006E2146">
      <w:pPr>
        <w:tabs>
          <w:tab w:val="left" w:pos="720"/>
        </w:tabs>
        <w:spacing w:afterLines="200"/>
        <w:jc w:val="both"/>
        <w:rPr>
          <w:rFonts w:cstheme="minorHAnsi"/>
          <w:bCs/>
          <w:iCs/>
          <w:color w:val="F79646" w:themeColor="accent6"/>
          <w:sz w:val="24"/>
          <w:szCs w:val="24"/>
        </w:rPr>
      </w:pPr>
      <w:r w:rsidRPr="006700B6">
        <w:rPr>
          <w:rFonts w:cstheme="minorHAnsi"/>
          <w:bCs/>
          <w:iCs/>
          <w:color w:val="F79646" w:themeColor="accent6"/>
          <w:sz w:val="24"/>
          <w:szCs w:val="24"/>
        </w:rPr>
        <w:t>Securities</w:t>
      </w:r>
    </w:p>
    <w:p w:rsidR="00004E3D" w:rsidRDefault="00004E3D" w:rsidP="006E2146">
      <w:pPr>
        <w:autoSpaceDE w:val="0"/>
        <w:autoSpaceDN w:val="0"/>
        <w:adjustRightInd w:val="0"/>
        <w:spacing w:afterLines="200" w:line="240" w:lineRule="auto"/>
        <w:jc w:val="both"/>
        <w:rPr>
          <w:rFonts w:cs="TTEDt00"/>
          <w:color w:val="000000"/>
        </w:rPr>
      </w:pPr>
      <w:r w:rsidRPr="006700B6">
        <w:rPr>
          <w:rFonts w:cs="TTEDt00"/>
          <w:color w:val="000000"/>
        </w:rPr>
        <w:t>To ensure the satisfactory completion of development, on a site which has been the subject of a</w:t>
      </w:r>
      <w:r w:rsidR="002A57FF" w:rsidRPr="006700B6">
        <w:rPr>
          <w:rFonts w:cs="TTEDt00"/>
          <w:color w:val="000000"/>
        </w:rPr>
        <w:t xml:space="preserve"> </w:t>
      </w:r>
      <w:r w:rsidRPr="006700B6">
        <w:rPr>
          <w:rFonts w:cs="TTEDt00"/>
          <w:color w:val="000000"/>
        </w:rPr>
        <w:t xml:space="preserve">grant of planning permission, a </w:t>
      </w:r>
      <w:r w:rsidR="005E4D16" w:rsidRPr="006700B6">
        <w:rPr>
          <w:rFonts w:cs="TTEDt00"/>
          <w:color w:val="000000"/>
        </w:rPr>
        <w:t>cash deposit</w:t>
      </w:r>
      <w:r w:rsidRPr="006700B6">
        <w:rPr>
          <w:rFonts w:cs="TTEDt00"/>
          <w:color w:val="000000"/>
        </w:rPr>
        <w:t xml:space="preserve"> </w:t>
      </w:r>
      <w:r w:rsidR="005E4D16" w:rsidRPr="006700B6">
        <w:rPr>
          <w:rFonts w:cs="TTEDt00"/>
          <w:color w:val="000000"/>
        </w:rPr>
        <w:t xml:space="preserve">shall be submitted to the Council </w:t>
      </w:r>
      <w:r w:rsidRPr="006700B6">
        <w:rPr>
          <w:rFonts w:cs="TTEDt00"/>
          <w:color w:val="000000"/>
        </w:rPr>
        <w:t>until the development</w:t>
      </w:r>
      <w:r w:rsidR="002A57FF" w:rsidRPr="006700B6">
        <w:rPr>
          <w:rFonts w:cs="TTEDt00"/>
          <w:color w:val="000000"/>
        </w:rPr>
        <w:t xml:space="preserve"> </w:t>
      </w:r>
      <w:r w:rsidRPr="006700B6">
        <w:rPr>
          <w:rFonts w:cs="TTEDt00"/>
          <w:color w:val="000000"/>
        </w:rPr>
        <w:t xml:space="preserve">has been completed to the </w:t>
      </w:r>
      <w:r w:rsidR="006D31C9" w:rsidRPr="006700B6">
        <w:rPr>
          <w:rFonts w:cs="TTEDt00"/>
          <w:color w:val="000000"/>
        </w:rPr>
        <w:t xml:space="preserve">satisfaction of the Council. </w:t>
      </w:r>
      <w:r w:rsidR="005E4D16" w:rsidRPr="006700B6">
        <w:rPr>
          <w:rFonts w:cs="TTEDt00"/>
          <w:color w:val="000000"/>
        </w:rPr>
        <w:t xml:space="preserve">The amount of the deposit shall be agreed with the Council. The amount shall be sufficient so as to ensure that any liability </w:t>
      </w:r>
      <w:r w:rsidR="00EF4DA1" w:rsidRPr="006700B6">
        <w:rPr>
          <w:rFonts w:cs="TTEDt00"/>
          <w:color w:val="000000"/>
        </w:rPr>
        <w:t>to</w:t>
      </w:r>
      <w:r w:rsidR="005E4D16" w:rsidRPr="006700B6">
        <w:rPr>
          <w:rFonts w:cs="TTEDt00"/>
          <w:color w:val="000000"/>
        </w:rPr>
        <w:t xml:space="preserve"> the Council </w:t>
      </w:r>
      <w:r w:rsidR="00EF4DA1" w:rsidRPr="006700B6">
        <w:rPr>
          <w:rFonts w:cs="TTEDt00"/>
          <w:color w:val="000000"/>
        </w:rPr>
        <w:t>in</w:t>
      </w:r>
      <w:r w:rsidR="005E4D16" w:rsidRPr="006700B6">
        <w:rPr>
          <w:rFonts w:cs="TTEDt00"/>
          <w:color w:val="000000"/>
        </w:rPr>
        <w:t xml:space="preserve"> complet</w:t>
      </w:r>
      <w:r w:rsidR="00EF4DA1" w:rsidRPr="006700B6">
        <w:rPr>
          <w:rFonts w:cs="TTEDt00"/>
          <w:color w:val="000000"/>
        </w:rPr>
        <w:t>ing</w:t>
      </w:r>
      <w:r w:rsidR="005E4D16" w:rsidRPr="006700B6">
        <w:rPr>
          <w:rFonts w:cs="TTEDt00"/>
          <w:color w:val="000000"/>
        </w:rPr>
        <w:t xml:space="preserve"> the development </w:t>
      </w:r>
      <w:r w:rsidR="00EF4DA1" w:rsidRPr="006700B6">
        <w:rPr>
          <w:rFonts w:cs="TTEDt00"/>
          <w:color w:val="000000"/>
        </w:rPr>
        <w:t>is minimised</w:t>
      </w:r>
      <w:r w:rsidR="005E4D16" w:rsidRPr="006700B6">
        <w:rPr>
          <w:rFonts w:cs="TTEDt00"/>
          <w:color w:val="000000"/>
        </w:rPr>
        <w:t xml:space="preserve">. A development can be completed on a phased basis as a development progresses so as to achieve the requisite standards are achieved on site and to limit the financial burden on the developer and minimise the liability to the Council. </w:t>
      </w:r>
      <w:r w:rsidR="006D31C9" w:rsidRPr="006700B6">
        <w:rPr>
          <w:rFonts w:cs="TTEDt00"/>
          <w:color w:val="000000"/>
        </w:rPr>
        <w:t xml:space="preserve">A </w:t>
      </w:r>
      <w:r w:rsidR="005E4D16" w:rsidRPr="006700B6">
        <w:rPr>
          <w:rFonts w:cs="TTEDt00"/>
          <w:color w:val="000000"/>
        </w:rPr>
        <w:t>cash deposit</w:t>
      </w:r>
      <w:r w:rsidRPr="006700B6">
        <w:rPr>
          <w:rFonts w:cs="TTEDt00"/>
          <w:color w:val="000000"/>
        </w:rPr>
        <w:t xml:space="preserve"> may be</w:t>
      </w:r>
      <w:r w:rsidR="002A57FF" w:rsidRPr="006700B6">
        <w:rPr>
          <w:rFonts w:cs="TTEDt00"/>
          <w:color w:val="000000"/>
        </w:rPr>
        <w:t xml:space="preserve"> </w:t>
      </w:r>
      <w:r w:rsidRPr="006700B6">
        <w:rPr>
          <w:rFonts w:cs="TTEDt00"/>
          <w:color w:val="000000"/>
        </w:rPr>
        <w:t>sequestered in part or in its entirety where the development has not been satisfactorily completed.</w:t>
      </w:r>
      <w:r w:rsidR="002A57FF" w:rsidRPr="006700B6">
        <w:rPr>
          <w:rFonts w:cs="TTEDt00"/>
          <w:color w:val="000000"/>
        </w:rPr>
        <w:t xml:space="preserve"> </w:t>
      </w:r>
      <w:r w:rsidR="00D839B5" w:rsidRPr="006700B6">
        <w:rPr>
          <w:rFonts w:cs="TTEDt00"/>
          <w:color w:val="000000"/>
        </w:rPr>
        <w:t>The</w:t>
      </w:r>
      <w:r w:rsidRPr="006700B6">
        <w:rPr>
          <w:rFonts w:cs="TTEDt00"/>
          <w:color w:val="000000"/>
        </w:rPr>
        <w:t xml:space="preserve"> Council will determine the amount of such </w:t>
      </w:r>
      <w:r w:rsidR="005E4D16" w:rsidRPr="006700B6">
        <w:rPr>
          <w:rFonts w:cs="TTEDt00"/>
          <w:color w:val="000000"/>
        </w:rPr>
        <w:t>cash deposit</w:t>
      </w:r>
      <w:r w:rsidR="0010412F" w:rsidRPr="006700B6">
        <w:rPr>
          <w:rFonts w:cs="TTEDt00"/>
          <w:color w:val="000000"/>
        </w:rPr>
        <w:t>, based on the Meath County Council Development Contributions Scheme 2016-2021 (as amended)</w:t>
      </w:r>
      <w:r w:rsidRPr="006700B6">
        <w:rPr>
          <w:rFonts w:cs="TTEDt00"/>
          <w:color w:val="000000"/>
        </w:rPr>
        <w:t>.</w:t>
      </w:r>
    </w:p>
    <w:p w:rsidR="00A84868" w:rsidRDefault="005E582B" w:rsidP="006E2146">
      <w:pPr>
        <w:tabs>
          <w:tab w:val="left" w:pos="720"/>
        </w:tabs>
        <w:spacing w:afterLines="200"/>
        <w:jc w:val="both"/>
        <w:rPr>
          <w:rFonts w:cstheme="minorHAnsi"/>
          <w:bCs/>
          <w:iCs/>
          <w:color w:val="F79646" w:themeColor="accent6"/>
          <w:sz w:val="24"/>
          <w:szCs w:val="24"/>
        </w:rPr>
      </w:pPr>
      <w:r>
        <w:rPr>
          <w:rFonts w:cstheme="minorHAnsi"/>
          <w:bCs/>
          <w:iCs/>
          <w:color w:val="F79646" w:themeColor="accent6"/>
          <w:sz w:val="24"/>
          <w:szCs w:val="24"/>
        </w:rPr>
        <w:t>Monitoring &amp; Reporting</w:t>
      </w:r>
    </w:p>
    <w:p w:rsidR="00004E3D" w:rsidRDefault="006D31C9" w:rsidP="006E2146">
      <w:pPr>
        <w:autoSpaceDE w:val="0"/>
        <w:autoSpaceDN w:val="0"/>
        <w:adjustRightInd w:val="0"/>
        <w:spacing w:afterLines="200" w:line="240" w:lineRule="auto"/>
        <w:jc w:val="both"/>
        <w:rPr>
          <w:rFonts w:cs="TTEDt00"/>
          <w:color w:val="000000"/>
        </w:rPr>
      </w:pPr>
      <w:r>
        <w:rPr>
          <w:rFonts w:cs="TTEDt00"/>
          <w:color w:val="000000"/>
        </w:rPr>
        <w:t xml:space="preserve">The Planning </w:t>
      </w:r>
      <w:r w:rsidR="00D839B5">
        <w:rPr>
          <w:rFonts w:cs="TTEDt00"/>
          <w:color w:val="000000"/>
        </w:rPr>
        <w:t>Department of the</w:t>
      </w:r>
      <w:r w:rsidR="00004E3D" w:rsidRPr="00004E3D">
        <w:rPr>
          <w:rFonts w:cs="TTEDt00"/>
          <w:color w:val="000000"/>
        </w:rPr>
        <w:t xml:space="preserve"> Council is the main section</w:t>
      </w:r>
      <w:r w:rsidR="002A57FF">
        <w:rPr>
          <w:rFonts w:cs="TTEDt00"/>
          <w:color w:val="000000"/>
        </w:rPr>
        <w:t xml:space="preserve"> </w:t>
      </w:r>
      <w:r w:rsidR="00004E3D" w:rsidRPr="00004E3D">
        <w:rPr>
          <w:rFonts w:cs="TTEDt00"/>
          <w:color w:val="000000"/>
        </w:rPr>
        <w:t xml:space="preserve">responsible for monitoring and implementing the </w:t>
      </w:r>
      <w:r w:rsidR="00D839B5">
        <w:rPr>
          <w:rFonts w:cs="TTEDt00"/>
          <w:color w:val="000000"/>
        </w:rPr>
        <w:t>p</w:t>
      </w:r>
      <w:r w:rsidR="00004E3D" w:rsidRPr="00004E3D">
        <w:rPr>
          <w:rFonts w:cs="TTEDt00"/>
          <w:color w:val="000000"/>
        </w:rPr>
        <w:t>lan, mainly through the</w:t>
      </w:r>
      <w:r w:rsidR="002A57FF">
        <w:rPr>
          <w:rFonts w:cs="TTEDt00"/>
          <w:color w:val="000000"/>
        </w:rPr>
        <w:t xml:space="preserve"> </w:t>
      </w:r>
      <w:r w:rsidR="00004E3D" w:rsidRPr="00004E3D">
        <w:rPr>
          <w:rFonts w:cs="TTEDt00"/>
          <w:color w:val="000000"/>
        </w:rPr>
        <w:t>development management function. However, it is important to note that this Plan co-ordinates</w:t>
      </w:r>
      <w:r w:rsidR="002A57FF">
        <w:rPr>
          <w:rFonts w:cs="TTEDt00"/>
          <w:color w:val="000000"/>
        </w:rPr>
        <w:t xml:space="preserve"> </w:t>
      </w:r>
      <w:r w:rsidR="00004E3D" w:rsidRPr="00004E3D">
        <w:rPr>
          <w:rFonts w:cs="TTEDt00"/>
          <w:color w:val="000000"/>
        </w:rPr>
        <w:t>the work and objectives of ot</w:t>
      </w:r>
      <w:r w:rsidR="00D839B5">
        <w:rPr>
          <w:rFonts w:cs="TTEDt00"/>
          <w:color w:val="000000"/>
        </w:rPr>
        <w:t>her key departments within the L</w:t>
      </w:r>
      <w:r w:rsidR="00004E3D" w:rsidRPr="00004E3D">
        <w:rPr>
          <w:rFonts w:cs="TTEDt00"/>
          <w:color w:val="000000"/>
        </w:rPr>
        <w:t>ocal</w:t>
      </w:r>
      <w:r w:rsidR="00D839B5">
        <w:rPr>
          <w:rFonts w:cs="TTEDt00"/>
          <w:color w:val="000000"/>
        </w:rPr>
        <w:t xml:space="preserve"> A</w:t>
      </w:r>
      <w:r w:rsidR="00004E3D" w:rsidRPr="00004E3D">
        <w:rPr>
          <w:rFonts w:cs="TTEDt00"/>
          <w:color w:val="000000"/>
        </w:rPr>
        <w:t>uthority, such as Economic</w:t>
      </w:r>
      <w:r w:rsidR="002A57FF">
        <w:rPr>
          <w:rFonts w:cs="TTEDt00"/>
          <w:color w:val="000000"/>
        </w:rPr>
        <w:t xml:space="preserve"> </w:t>
      </w:r>
      <w:r w:rsidR="00004E3D" w:rsidRPr="00004E3D">
        <w:rPr>
          <w:rFonts w:cs="TTEDt00"/>
          <w:color w:val="000000"/>
        </w:rPr>
        <w:t>Development, Water Services</w:t>
      </w:r>
      <w:r w:rsidR="005E582B">
        <w:rPr>
          <w:rFonts w:cs="TTEDt00"/>
          <w:color w:val="000000"/>
        </w:rPr>
        <w:t>,</w:t>
      </w:r>
      <w:r w:rsidR="00004E3D" w:rsidRPr="00004E3D">
        <w:rPr>
          <w:rFonts w:cs="TTEDt00"/>
          <w:color w:val="000000"/>
        </w:rPr>
        <w:t xml:space="preserve"> </w:t>
      </w:r>
      <w:r w:rsidR="006B039D">
        <w:rPr>
          <w:rFonts w:cs="TTEDt00"/>
          <w:color w:val="000000"/>
        </w:rPr>
        <w:t xml:space="preserve">Transportation </w:t>
      </w:r>
      <w:r w:rsidR="00004E3D" w:rsidRPr="00004E3D">
        <w:rPr>
          <w:rFonts w:cs="TTEDt00"/>
          <w:color w:val="000000"/>
        </w:rPr>
        <w:t>&amp; Environment, Housing and Community. In some cases, the body</w:t>
      </w:r>
      <w:r w:rsidR="002A57FF">
        <w:rPr>
          <w:rFonts w:cs="TTEDt00"/>
          <w:color w:val="000000"/>
        </w:rPr>
        <w:t xml:space="preserve"> </w:t>
      </w:r>
      <w:r w:rsidR="00004E3D" w:rsidRPr="00004E3D">
        <w:rPr>
          <w:rFonts w:cs="TTEDt00"/>
          <w:color w:val="000000"/>
        </w:rPr>
        <w:t>responsible for the implementation of certain plan objecti</w:t>
      </w:r>
      <w:r>
        <w:rPr>
          <w:rFonts w:cs="TTEDt00"/>
          <w:color w:val="000000"/>
        </w:rPr>
        <w:t>ves may be external, such as Irish Water, National Parks &amp; Wildlife Service, Fisheries Ireland,</w:t>
      </w:r>
      <w:r w:rsidR="00004E3D" w:rsidRPr="00004E3D">
        <w:rPr>
          <w:rFonts w:cs="TTEDt00"/>
          <w:color w:val="000000"/>
        </w:rPr>
        <w:t xml:space="preserve"> National</w:t>
      </w:r>
      <w:r w:rsidR="002A57FF">
        <w:rPr>
          <w:rFonts w:cs="TTEDt00"/>
          <w:color w:val="000000"/>
        </w:rPr>
        <w:t xml:space="preserve"> </w:t>
      </w:r>
      <w:r>
        <w:rPr>
          <w:rFonts w:cs="TTEDt00"/>
          <w:color w:val="000000"/>
        </w:rPr>
        <w:t xml:space="preserve">Roads Authority, </w:t>
      </w:r>
      <w:r w:rsidR="00004E3D" w:rsidRPr="00004E3D">
        <w:rPr>
          <w:rFonts w:cs="TTEDt00"/>
          <w:color w:val="000000"/>
        </w:rPr>
        <w:t xml:space="preserve">Transport </w:t>
      </w:r>
      <w:r w:rsidR="00DC50B8">
        <w:rPr>
          <w:rFonts w:cs="TTEDt00"/>
          <w:color w:val="000000"/>
        </w:rPr>
        <w:t xml:space="preserve">Infrastructure Ireland, </w:t>
      </w:r>
      <w:r w:rsidR="001C0927">
        <w:rPr>
          <w:rFonts w:cs="TTEDt00"/>
          <w:color w:val="000000"/>
        </w:rPr>
        <w:t>and the</w:t>
      </w:r>
      <w:r w:rsidR="00BD0EEF">
        <w:rPr>
          <w:rFonts w:cs="TTEDt00"/>
          <w:color w:val="000000"/>
        </w:rPr>
        <w:t xml:space="preserve"> </w:t>
      </w:r>
      <w:r>
        <w:rPr>
          <w:rFonts w:cs="TTEDt00"/>
          <w:color w:val="000000"/>
        </w:rPr>
        <w:t>Environmental Protection Agency</w:t>
      </w:r>
      <w:r w:rsidR="00004E3D" w:rsidRPr="00004E3D">
        <w:rPr>
          <w:rFonts w:cs="TTEDt00"/>
          <w:color w:val="000000"/>
        </w:rPr>
        <w:t xml:space="preserve"> etc.</w:t>
      </w:r>
    </w:p>
    <w:p w:rsidR="004A3F1C" w:rsidRPr="004D7D58" w:rsidRDefault="004A3F1C" w:rsidP="006E2146">
      <w:pPr>
        <w:autoSpaceDE w:val="0"/>
        <w:autoSpaceDN w:val="0"/>
        <w:adjustRightInd w:val="0"/>
        <w:spacing w:afterLines="200" w:line="240" w:lineRule="auto"/>
        <w:jc w:val="both"/>
      </w:pPr>
      <w:r w:rsidRPr="004D7D58">
        <w:t xml:space="preserve">More recently the Office of the Planning Regulator (OPR) was established by Government in April 2019. The Planning and Development (Amendment) Act 2018 established the legal basis for the OPR and outlines its role and functions, which include the assessment of all local authority and regional assembly forward planning programmes, including regional spatial and economic strategies; organisational review of the systems and procedures used by a Planning Authority, in the performance of any of their planning functions. This office operates an independent monitoring role, advising the Minister, Government and the </w:t>
      </w:r>
      <w:proofErr w:type="spellStart"/>
      <w:r w:rsidRPr="004D7D58">
        <w:t>Oireachtas</w:t>
      </w:r>
      <w:proofErr w:type="spellEnd"/>
      <w:r w:rsidRPr="004D7D58">
        <w:t xml:space="preserve"> on implementation of local authority statutory planning processes, using a new set of indicators to be developed to assist effective monitoring.</w:t>
      </w:r>
    </w:p>
    <w:p w:rsidR="004A3F1C" w:rsidRPr="004D7D58" w:rsidRDefault="004A3F1C" w:rsidP="006E2146">
      <w:pPr>
        <w:autoSpaceDE w:val="0"/>
        <w:autoSpaceDN w:val="0"/>
        <w:adjustRightInd w:val="0"/>
        <w:spacing w:afterLines="200" w:line="240" w:lineRule="auto"/>
        <w:jc w:val="both"/>
      </w:pPr>
    </w:p>
    <w:p w:rsidR="004A3F1C" w:rsidRPr="004D7D58" w:rsidRDefault="004A3F1C" w:rsidP="006E2146">
      <w:pPr>
        <w:autoSpaceDE w:val="0"/>
        <w:autoSpaceDN w:val="0"/>
        <w:adjustRightInd w:val="0"/>
        <w:spacing w:afterLines="200" w:line="240" w:lineRule="auto"/>
        <w:jc w:val="both"/>
      </w:pPr>
      <w:r w:rsidRPr="004D7D58">
        <w:t xml:space="preserve">The EMRA is strongly committed to the preparation of evidence-based strategies and plans and this is demonstrated in the baseline data gathering and the preparation of Regional Profiles, which informed the development of the RSES. </w:t>
      </w:r>
    </w:p>
    <w:p w:rsidR="004A3F1C" w:rsidRPr="004A3F1C" w:rsidRDefault="00295CA9" w:rsidP="006E2146">
      <w:pPr>
        <w:autoSpaceDE w:val="0"/>
        <w:autoSpaceDN w:val="0"/>
        <w:adjustRightInd w:val="0"/>
        <w:spacing w:afterLines="200" w:line="240" w:lineRule="auto"/>
        <w:jc w:val="both"/>
      </w:pPr>
      <w:r w:rsidRPr="004D7D58">
        <w:lastRenderedPageBreak/>
        <w:t xml:space="preserve">The Eastern and Midlands Regional Assembly have made a </w:t>
      </w:r>
      <w:r w:rsidR="004A3F1C" w:rsidRPr="004D7D58">
        <w:t xml:space="preserve">commitment </w:t>
      </w:r>
      <w:r w:rsidRPr="004D7D58">
        <w:t xml:space="preserve">to </w:t>
      </w:r>
      <w:r w:rsidR="004A3F1C" w:rsidRPr="004D7D58">
        <w:t xml:space="preserve">make available </w:t>
      </w:r>
      <w:r w:rsidR="00E55C5B" w:rsidRPr="004D7D58">
        <w:t xml:space="preserve">to Local Authorities </w:t>
      </w:r>
      <w:r w:rsidR="004A3F1C" w:rsidRPr="004D7D58">
        <w:t xml:space="preserve">the baseline data </w:t>
      </w:r>
      <w:r w:rsidRPr="004D7D58">
        <w:t xml:space="preserve">(used in preparation of the RSES) </w:t>
      </w:r>
      <w:r w:rsidR="004A3F1C" w:rsidRPr="004D7D58">
        <w:t>as a shared evidence base for the Region and encourages local authorities to use this data</w:t>
      </w:r>
      <w:r w:rsidR="00E55C5B" w:rsidRPr="004D7D58">
        <w:t>base</w:t>
      </w:r>
      <w:r w:rsidR="004A3F1C" w:rsidRPr="004D7D58">
        <w:t>, particularly to inform the preparation and implementation of city and county development plans, local area plans, and local economic and community plans. It is anticipated that the RSES evidence baseline data will be regularly updated as new data becomes available and the Regional Assembly will support the development and publication of a set of robust, relevant and timely Key Regional Indicators for policy making and</w:t>
      </w:r>
      <w:r w:rsidR="00E55C5B" w:rsidRPr="004D7D58">
        <w:t xml:space="preserve"> evaluation. </w:t>
      </w:r>
      <w:proofErr w:type="gramStart"/>
      <w:r w:rsidR="00E55C5B" w:rsidRPr="004D7D58">
        <w:t>Baseline</w:t>
      </w:r>
      <w:proofErr w:type="gramEnd"/>
      <w:r w:rsidR="00E55C5B" w:rsidRPr="004D7D58">
        <w:t xml:space="preserve"> data will</w:t>
      </w:r>
      <w:r w:rsidR="004A3F1C" w:rsidRPr="004D7D58">
        <w:t xml:space="preserve"> be updated on at least a four yearly cycle to coincide with the EPA state of the environment reporting and shall take account of the monitoring requirements in the SEA.</w:t>
      </w:r>
    </w:p>
    <w:p w:rsidR="00004E3D" w:rsidRPr="00004E3D" w:rsidRDefault="00004E3D" w:rsidP="006E2146">
      <w:pPr>
        <w:autoSpaceDE w:val="0"/>
        <w:autoSpaceDN w:val="0"/>
        <w:adjustRightInd w:val="0"/>
        <w:spacing w:afterLines="200" w:line="240" w:lineRule="auto"/>
        <w:jc w:val="both"/>
        <w:rPr>
          <w:rFonts w:cs="TTEDt00"/>
          <w:color w:val="000000"/>
        </w:rPr>
      </w:pPr>
      <w:r w:rsidRPr="00004E3D">
        <w:rPr>
          <w:rFonts w:cs="TTEDt00"/>
          <w:color w:val="000000"/>
        </w:rPr>
        <w:t xml:space="preserve">The large </w:t>
      </w:r>
      <w:proofErr w:type="gramStart"/>
      <w:r w:rsidRPr="00004E3D">
        <w:rPr>
          <w:rFonts w:cs="TTEDt00"/>
          <w:color w:val="000000"/>
        </w:rPr>
        <w:t>number of object</w:t>
      </w:r>
      <w:r w:rsidR="00BD0EEF">
        <w:rPr>
          <w:rFonts w:cs="TTEDt00"/>
          <w:color w:val="000000"/>
        </w:rPr>
        <w:t>ives included in the</w:t>
      </w:r>
      <w:r w:rsidRPr="00004E3D">
        <w:rPr>
          <w:rFonts w:cs="TTEDt00"/>
          <w:color w:val="000000"/>
        </w:rPr>
        <w:t xml:space="preserve"> Plan represent</w:t>
      </w:r>
      <w:proofErr w:type="gramEnd"/>
      <w:r w:rsidRPr="00004E3D">
        <w:rPr>
          <w:rFonts w:cs="TTEDt00"/>
          <w:color w:val="000000"/>
        </w:rPr>
        <w:t xml:space="preserve"> a significant challenge</w:t>
      </w:r>
      <w:r w:rsidR="002A57FF">
        <w:rPr>
          <w:rFonts w:cs="TTEDt00"/>
          <w:color w:val="000000"/>
        </w:rPr>
        <w:t xml:space="preserve"> </w:t>
      </w:r>
      <w:r w:rsidR="00DC50B8">
        <w:rPr>
          <w:rFonts w:cs="TTEDt00"/>
          <w:color w:val="000000"/>
        </w:rPr>
        <w:t>for the Council. However, a number</w:t>
      </w:r>
      <w:r w:rsidRPr="00004E3D">
        <w:rPr>
          <w:rFonts w:cs="TTEDt00"/>
          <w:color w:val="000000"/>
        </w:rPr>
        <w:t xml:space="preserve"> of the Plan’s objectives are set within a longer timeframe, of 20 to</w:t>
      </w:r>
      <w:r w:rsidR="002A57FF">
        <w:rPr>
          <w:rFonts w:cs="TTEDt00"/>
          <w:color w:val="000000"/>
        </w:rPr>
        <w:t xml:space="preserve"> </w:t>
      </w:r>
      <w:r w:rsidRPr="00004E3D">
        <w:rPr>
          <w:rFonts w:cs="TTEDt00"/>
          <w:color w:val="000000"/>
        </w:rPr>
        <w:t>30 years, which may not be fully implemented over the lifetime of this County Development Plan</w:t>
      </w:r>
      <w:r w:rsidRPr="00004E3D">
        <w:rPr>
          <w:rFonts w:cs="Times-Roman"/>
          <w:color w:val="000000"/>
        </w:rPr>
        <w:t>.</w:t>
      </w:r>
    </w:p>
    <w:p w:rsidR="00004E3D" w:rsidRPr="00004E3D" w:rsidRDefault="00004E3D" w:rsidP="006E2146">
      <w:pPr>
        <w:autoSpaceDE w:val="0"/>
        <w:autoSpaceDN w:val="0"/>
        <w:adjustRightInd w:val="0"/>
        <w:spacing w:afterLines="200" w:line="240" w:lineRule="auto"/>
        <w:jc w:val="both"/>
        <w:rPr>
          <w:rFonts w:cs="TTEDt00"/>
          <w:color w:val="000000"/>
        </w:rPr>
      </w:pPr>
      <w:r w:rsidRPr="00004E3D">
        <w:rPr>
          <w:rFonts w:cs="TTEDt00"/>
          <w:color w:val="000000"/>
        </w:rPr>
        <w:t>T</w:t>
      </w:r>
      <w:r w:rsidR="00FF7336">
        <w:rPr>
          <w:rFonts w:cs="TTEDt00"/>
          <w:color w:val="000000"/>
        </w:rPr>
        <w:t>he Planning and Development Act 2000 (as amended)</w:t>
      </w:r>
      <w:r w:rsidRPr="00004E3D">
        <w:rPr>
          <w:rFonts w:cs="TTEDt00"/>
          <w:color w:val="000000"/>
        </w:rPr>
        <w:t xml:space="preserve"> provides under:</w:t>
      </w:r>
    </w:p>
    <w:p w:rsidR="00004E3D" w:rsidRPr="00004E3D" w:rsidRDefault="00004E3D" w:rsidP="006E2146">
      <w:pPr>
        <w:autoSpaceDE w:val="0"/>
        <w:autoSpaceDN w:val="0"/>
        <w:adjustRightInd w:val="0"/>
        <w:spacing w:afterLines="200" w:line="240" w:lineRule="auto"/>
        <w:jc w:val="both"/>
        <w:rPr>
          <w:rFonts w:cs="TTEDt00"/>
          <w:color w:val="000000"/>
        </w:rPr>
      </w:pPr>
      <w:r w:rsidRPr="00004E3D">
        <w:rPr>
          <w:rFonts w:cs="TTEDt00"/>
          <w:color w:val="000000"/>
        </w:rPr>
        <w:t>Section 15 (1) that it shall be the duty of a Planning Authority to take such steps within</w:t>
      </w:r>
      <w:r w:rsidR="002A57FF">
        <w:rPr>
          <w:rFonts w:cs="TTEDt00"/>
          <w:color w:val="000000"/>
        </w:rPr>
        <w:t xml:space="preserve"> </w:t>
      </w:r>
      <w:r w:rsidRPr="00004E3D">
        <w:rPr>
          <w:rFonts w:cs="TTEDt00"/>
          <w:color w:val="000000"/>
        </w:rPr>
        <w:t>its powers as may be necessary for securing the objectives of the Development Plan,</w:t>
      </w:r>
    </w:p>
    <w:p w:rsidR="00004E3D" w:rsidRPr="00004E3D" w:rsidRDefault="00004E3D" w:rsidP="006E2146">
      <w:pPr>
        <w:autoSpaceDE w:val="0"/>
        <w:autoSpaceDN w:val="0"/>
        <w:adjustRightInd w:val="0"/>
        <w:spacing w:afterLines="200" w:line="240" w:lineRule="auto"/>
        <w:jc w:val="both"/>
        <w:rPr>
          <w:rFonts w:cs="TTEDt00"/>
          <w:color w:val="000000"/>
        </w:rPr>
      </w:pPr>
      <w:proofErr w:type="gramStart"/>
      <w:r w:rsidRPr="00004E3D">
        <w:rPr>
          <w:rFonts w:cs="TTEDt00"/>
          <w:color w:val="000000"/>
        </w:rPr>
        <w:t>and</w:t>
      </w:r>
      <w:proofErr w:type="gramEnd"/>
      <w:r w:rsidRPr="00004E3D">
        <w:rPr>
          <w:rFonts w:cs="TTEDt00"/>
          <w:color w:val="000000"/>
        </w:rPr>
        <w:t>;</w:t>
      </w:r>
    </w:p>
    <w:p w:rsidR="00D839B5" w:rsidRDefault="00004E3D" w:rsidP="006E2146">
      <w:pPr>
        <w:autoSpaceDE w:val="0"/>
        <w:autoSpaceDN w:val="0"/>
        <w:adjustRightInd w:val="0"/>
        <w:spacing w:afterLines="200" w:line="240" w:lineRule="auto"/>
        <w:jc w:val="both"/>
        <w:rPr>
          <w:rFonts w:cs="TTEDt00"/>
          <w:color w:val="000000"/>
        </w:rPr>
      </w:pPr>
      <w:r w:rsidRPr="00004E3D">
        <w:rPr>
          <w:rFonts w:cs="TTEDt00"/>
          <w:color w:val="000000"/>
        </w:rPr>
        <w:t>Section 15 (2) that the Manager of the Planning Authority shall, not more than 2 years</w:t>
      </w:r>
      <w:r w:rsidR="002A57FF">
        <w:rPr>
          <w:rFonts w:cs="TTEDt00"/>
          <w:color w:val="000000"/>
        </w:rPr>
        <w:t xml:space="preserve"> </w:t>
      </w:r>
      <w:r w:rsidRPr="00004E3D">
        <w:rPr>
          <w:rFonts w:cs="TTEDt00"/>
          <w:color w:val="000000"/>
        </w:rPr>
        <w:t>after the making of a Development Plan, give a report to the members of the Planning</w:t>
      </w:r>
      <w:r w:rsidR="002A57FF">
        <w:rPr>
          <w:rFonts w:cs="TTEDt00"/>
          <w:color w:val="000000"/>
        </w:rPr>
        <w:t xml:space="preserve"> </w:t>
      </w:r>
      <w:r w:rsidRPr="00004E3D">
        <w:rPr>
          <w:rFonts w:cs="TTEDt00"/>
          <w:color w:val="000000"/>
        </w:rPr>
        <w:t>Authority on the progress achieved in securing the objectives referred to in subsection</w:t>
      </w:r>
      <w:r w:rsidR="00DC50B8">
        <w:rPr>
          <w:rFonts w:cs="TTEDt00"/>
          <w:color w:val="000000"/>
        </w:rPr>
        <w:t xml:space="preserve"> </w:t>
      </w:r>
      <w:r w:rsidRPr="00004E3D">
        <w:rPr>
          <w:rFonts w:cs="TTEDt00"/>
          <w:color w:val="000000"/>
        </w:rPr>
        <w:t>(1).</w:t>
      </w:r>
    </w:p>
    <w:p w:rsidR="00D839B5" w:rsidRDefault="00004E3D" w:rsidP="006E2146">
      <w:pPr>
        <w:autoSpaceDE w:val="0"/>
        <w:autoSpaceDN w:val="0"/>
        <w:adjustRightInd w:val="0"/>
        <w:spacing w:afterLines="200"/>
        <w:jc w:val="both"/>
        <w:rPr>
          <w:rFonts w:cs="TTEDt00"/>
          <w:color w:val="000000"/>
        </w:rPr>
      </w:pPr>
      <w:r w:rsidRPr="00004E3D">
        <w:rPr>
          <w:rFonts w:cs="TTEEt00"/>
          <w:color w:val="000000"/>
        </w:rPr>
        <w:t>Objectives</w:t>
      </w:r>
    </w:p>
    <w:p w:rsidR="00004E3D" w:rsidRPr="000F68D8" w:rsidRDefault="00004E3D" w:rsidP="006E2146">
      <w:pPr>
        <w:autoSpaceDE w:val="0"/>
        <w:autoSpaceDN w:val="0"/>
        <w:adjustRightInd w:val="0"/>
        <w:spacing w:afterLines="200"/>
        <w:jc w:val="both"/>
        <w:rPr>
          <w:rFonts w:cs="TTEDt00"/>
          <w:color w:val="000000"/>
        </w:rPr>
      </w:pPr>
      <w:r w:rsidRPr="00004E3D">
        <w:rPr>
          <w:rFonts w:cs="TTEDt00"/>
          <w:color w:val="000000"/>
        </w:rPr>
        <w:t xml:space="preserve">It </w:t>
      </w:r>
      <w:r w:rsidR="00DC50B8">
        <w:rPr>
          <w:rFonts w:cs="TTEDt00"/>
          <w:color w:val="000000"/>
        </w:rPr>
        <w:t xml:space="preserve">is an objective of the </w:t>
      </w:r>
      <w:r w:rsidRPr="00004E3D">
        <w:rPr>
          <w:rFonts w:cs="TTEDt00"/>
          <w:color w:val="000000"/>
        </w:rPr>
        <w:t>Council:</w:t>
      </w:r>
    </w:p>
    <w:p w:rsidR="00004E3D" w:rsidRPr="00004E3D" w:rsidRDefault="00004E3D" w:rsidP="006E2146">
      <w:pPr>
        <w:shd w:val="clear" w:color="auto" w:fill="FBD4B4" w:themeFill="accent6" w:themeFillTint="66"/>
        <w:autoSpaceDE w:val="0"/>
        <w:autoSpaceDN w:val="0"/>
        <w:adjustRightInd w:val="0"/>
        <w:spacing w:afterLines="200" w:line="240" w:lineRule="auto"/>
        <w:jc w:val="both"/>
        <w:rPr>
          <w:rFonts w:cs="TTEDt00"/>
        </w:rPr>
      </w:pPr>
      <w:r w:rsidRPr="00004E3D">
        <w:rPr>
          <w:rFonts w:cs="TTEDt00"/>
        </w:rPr>
        <w:t>IMP &amp; MON OBJ 1: To endeavour to prepare an annual monitoring and evaluation report on the</w:t>
      </w:r>
      <w:r w:rsidR="002A57FF">
        <w:rPr>
          <w:rFonts w:cs="TTEDt00"/>
        </w:rPr>
        <w:t xml:space="preserve"> </w:t>
      </w:r>
      <w:r w:rsidRPr="00004E3D">
        <w:rPr>
          <w:rFonts w:cs="TTEDt00"/>
        </w:rPr>
        <w:t>progress achieved in securing the objectives of the Plan to be given to the</w:t>
      </w:r>
      <w:r w:rsidR="002A57FF">
        <w:rPr>
          <w:rFonts w:cs="TTEDt00"/>
        </w:rPr>
        <w:t xml:space="preserve"> </w:t>
      </w:r>
      <w:r w:rsidRPr="00004E3D">
        <w:rPr>
          <w:rFonts w:cs="TTEDt00"/>
        </w:rPr>
        <w:t>Elected Members, subject to the availability of the necessary resources.</w:t>
      </w:r>
    </w:p>
    <w:p w:rsidR="00004E3D" w:rsidRPr="00004E3D" w:rsidRDefault="00004E3D" w:rsidP="006E2146">
      <w:pPr>
        <w:shd w:val="clear" w:color="auto" w:fill="FBD4B4" w:themeFill="accent6" w:themeFillTint="66"/>
        <w:autoSpaceDE w:val="0"/>
        <w:autoSpaceDN w:val="0"/>
        <w:adjustRightInd w:val="0"/>
        <w:spacing w:afterLines="200" w:line="240" w:lineRule="auto"/>
        <w:jc w:val="both"/>
        <w:rPr>
          <w:rFonts w:cs="TTEDt00"/>
        </w:rPr>
      </w:pPr>
      <w:r w:rsidRPr="00004E3D">
        <w:rPr>
          <w:rFonts w:cs="TTEDt00"/>
        </w:rPr>
        <w:t>IMP &amp; MON OBJ 2: To prepare a preliminary monitoring evaluation report on the likely significant</w:t>
      </w:r>
      <w:r w:rsidR="002A57FF">
        <w:rPr>
          <w:rFonts w:cs="TTEDt00"/>
        </w:rPr>
        <w:t xml:space="preserve"> </w:t>
      </w:r>
      <w:r w:rsidRPr="00004E3D">
        <w:rPr>
          <w:rFonts w:cs="TTEDt00"/>
        </w:rPr>
        <w:t>environmental effects of imp</w:t>
      </w:r>
      <w:r w:rsidR="000F0B95">
        <w:rPr>
          <w:rFonts w:cs="TTEDt00"/>
        </w:rPr>
        <w:t>lementing the P</w:t>
      </w:r>
      <w:r w:rsidRPr="00004E3D">
        <w:rPr>
          <w:rFonts w:cs="TTEDt00"/>
        </w:rPr>
        <w:t xml:space="preserve">lan </w:t>
      </w:r>
      <w:r w:rsidR="006B039D">
        <w:rPr>
          <w:rFonts w:cs="TTEDt00"/>
        </w:rPr>
        <w:t>(</w:t>
      </w:r>
      <w:r w:rsidR="00C46E2E">
        <w:rPr>
          <w:rFonts w:cs="TTEDt00"/>
        </w:rPr>
        <w:t xml:space="preserve">subject to the availability of adequate resources) </w:t>
      </w:r>
      <w:r w:rsidRPr="00004E3D">
        <w:rPr>
          <w:rFonts w:cs="TTEDt00"/>
        </w:rPr>
        <w:t>within two</w:t>
      </w:r>
      <w:r w:rsidR="002A57FF">
        <w:rPr>
          <w:rFonts w:cs="TTEDt00"/>
        </w:rPr>
        <w:t xml:space="preserve"> </w:t>
      </w:r>
      <w:r w:rsidRPr="00004E3D">
        <w:rPr>
          <w:rFonts w:cs="TTEDt00"/>
        </w:rPr>
        <w:t>years of the making of the Plan (</w:t>
      </w:r>
      <w:r w:rsidRPr="00DC50B8">
        <w:rPr>
          <w:rFonts w:cs="TTEDt00"/>
          <w:highlight w:val="yellow"/>
        </w:rPr>
        <w:t>as per section 15) of the Environmental</w:t>
      </w:r>
      <w:r w:rsidR="002A57FF" w:rsidRPr="00DC50B8">
        <w:rPr>
          <w:rFonts w:cs="TTEDt00"/>
          <w:highlight w:val="yellow"/>
        </w:rPr>
        <w:t xml:space="preserve"> </w:t>
      </w:r>
      <w:r w:rsidRPr="00DC50B8">
        <w:rPr>
          <w:rFonts w:cs="TTEDt00"/>
          <w:highlight w:val="yellow"/>
        </w:rPr>
        <w:t>Report</w:t>
      </w:r>
      <w:r w:rsidRPr="00004E3D">
        <w:rPr>
          <w:rFonts w:cs="TTEDt00"/>
        </w:rPr>
        <w:t xml:space="preserve">. (This could coincide with 2nd </w:t>
      </w:r>
      <w:r w:rsidR="00BD0EEF">
        <w:rPr>
          <w:rFonts w:cs="TTEDt00"/>
        </w:rPr>
        <w:t>annual review of the</w:t>
      </w:r>
      <w:r w:rsidRPr="00004E3D">
        <w:rPr>
          <w:rFonts w:cs="TTEDt00"/>
        </w:rPr>
        <w:t xml:space="preserve"> Plan on</w:t>
      </w:r>
      <w:r w:rsidR="002A57FF">
        <w:rPr>
          <w:rFonts w:cs="TTEDt00"/>
        </w:rPr>
        <w:t xml:space="preserve"> </w:t>
      </w:r>
      <w:r w:rsidRPr="00004E3D">
        <w:rPr>
          <w:rFonts w:cs="TTEDt00"/>
        </w:rPr>
        <w:t>the progress achi</w:t>
      </w:r>
      <w:r w:rsidR="00BD0EEF">
        <w:rPr>
          <w:rFonts w:cs="TTEDt00"/>
        </w:rPr>
        <w:t>eved in securing the</w:t>
      </w:r>
      <w:r w:rsidRPr="00004E3D">
        <w:rPr>
          <w:rFonts w:cs="TTEDt00"/>
        </w:rPr>
        <w:t xml:space="preserve"> Plan objectives as per IMP</w:t>
      </w:r>
      <w:r w:rsidR="002A57FF">
        <w:rPr>
          <w:rFonts w:cs="TTEDt00"/>
        </w:rPr>
        <w:t xml:space="preserve"> </w:t>
      </w:r>
      <w:r w:rsidRPr="00004E3D">
        <w:rPr>
          <w:rFonts w:cs="TTEDt00"/>
        </w:rPr>
        <w:t>&amp; MON OBJ 1).</w:t>
      </w:r>
    </w:p>
    <w:p w:rsidR="0080791E" w:rsidRDefault="00004E3D" w:rsidP="006E2146">
      <w:pPr>
        <w:shd w:val="clear" w:color="auto" w:fill="FBD4B4" w:themeFill="accent6" w:themeFillTint="66"/>
        <w:spacing w:afterLines="200" w:line="240" w:lineRule="auto"/>
        <w:jc w:val="both"/>
        <w:rPr>
          <w:rFonts w:cs="TTEDt00"/>
        </w:rPr>
      </w:pPr>
      <w:r w:rsidRPr="00004E3D">
        <w:rPr>
          <w:rFonts w:cs="TTEDt00"/>
        </w:rPr>
        <w:t xml:space="preserve">IMP &amp; MON OBJ 3: To undertake monitoring as set out in </w:t>
      </w:r>
      <w:r w:rsidRPr="00DC50B8">
        <w:rPr>
          <w:rFonts w:cs="TTEDt00"/>
          <w:highlight w:val="yellow"/>
        </w:rPr>
        <w:t>Chapter 8 of the Environmental Report</w:t>
      </w:r>
      <w:r w:rsidRPr="00004E3D">
        <w:rPr>
          <w:rFonts w:cs="TTEDt00"/>
        </w:rPr>
        <w:t>.</w:t>
      </w:r>
    </w:p>
    <w:p w:rsidR="00520B77" w:rsidRPr="000F68D8" w:rsidRDefault="00520B77" w:rsidP="006E2146">
      <w:pPr>
        <w:shd w:val="clear" w:color="auto" w:fill="FBD4B4" w:themeFill="accent6" w:themeFillTint="66"/>
        <w:spacing w:afterLines="200" w:line="240" w:lineRule="auto"/>
        <w:jc w:val="both"/>
        <w:rPr>
          <w:rFonts w:cs="TTEDt00"/>
          <w:color w:val="000000"/>
        </w:rPr>
      </w:pPr>
      <w:r>
        <w:rPr>
          <w:rFonts w:cs="TTEDt00"/>
        </w:rPr>
        <w:lastRenderedPageBreak/>
        <w:t>IMP &amp; MON OBJ 4</w:t>
      </w:r>
      <w:r w:rsidRPr="00004E3D">
        <w:rPr>
          <w:rFonts w:cs="TTEDt00"/>
        </w:rPr>
        <w:t>:</w:t>
      </w:r>
      <w:r>
        <w:rPr>
          <w:rFonts w:cs="TTEDt00"/>
        </w:rPr>
        <w:t xml:space="preserve"> To improve the tracking of plans and policies and the implementation and enforcement of environmental legislation to protect the environment. </w:t>
      </w:r>
    </w:p>
    <w:p w:rsidR="00161DBE" w:rsidRPr="00161DBE" w:rsidRDefault="001378AB" w:rsidP="006E2146">
      <w:pPr>
        <w:pStyle w:val="Heading2"/>
        <w:spacing w:afterLines="200"/>
        <w:rPr>
          <w:rStyle w:val="Heading1Char"/>
          <w:rFonts w:cstheme="majorBidi"/>
          <w:b w:val="0"/>
          <w:bCs/>
          <w:color w:val="F79646" w:themeColor="accent6"/>
          <w:sz w:val="28"/>
          <w:szCs w:val="28"/>
          <w:lang w:eastAsia="en-US"/>
        </w:rPr>
      </w:pPr>
      <w:r w:rsidRPr="00FF7336">
        <w:rPr>
          <w:b w:val="0"/>
          <w:color w:val="F79646" w:themeColor="accent6"/>
          <w:sz w:val="28"/>
          <w:szCs w:val="28"/>
        </w:rPr>
        <w:t>Monitoring</w:t>
      </w:r>
    </w:p>
    <w:p w:rsidR="0080791E" w:rsidRPr="00161DBE" w:rsidRDefault="001378AB" w:rsidP="006E2146">
      <w:pPr>
        <w:spacing w:afterLines="200"/>
        <w:rPr>
          <w:sz w:val="24"/>
          <w:szCs w:val="24"/>
        </w:rPr>
      </w:pPr>
      <w:r w:rsidRPr="00161DBE">
        <w:rPr>
          <w:rStyle w:val="Heading1Char"/>
          <w:sz w:val="24"/>
          <w:szCs w:val="24"/>
        </w:rPr>
        <w:t>Plan Objectives</w:t>
      </w:r>
      <w:r w:rsidRPr="00161DBE">
        <w:rPr>
          <w:sz w:val="24"/>
          <w:szCs w:val="24"/>
        </w:rPr>
        <w:t xml:space="preserve"> </w:t>
      </w:r>
    </w:p>
    <w:p w:rsidR="001378AB" w:rsidRPr="001378AB" w:rsidRDefault="001378AB" w:rsidP="006E2146">
      <w:pPr>
        <w:spacing w:afterLines="200" w:line="240" w:lineRule="auto"/>
        <w:jc w:val="both"/>
        <w:rPr>
          <w:rStyle w:val="Heading1Char"/>
          <w:rFonts w:cstheme="minorBidi"/>
          <w:bCs w:val="0"/>
          <w:color w:val="auto"/>
          <w:sz w:val="22"/>
          <w:szCs w:val="22"/>
          <w:lang w:eastAsia="en-US"/>
        </w:rPr>
      </w:pPr>
      <w:r>
        <w:t xml:space="preserve">As far as practicable, every effort has been made to formulate objectives that are specific, measurable, achievable and realistic. All of the objectives of the plan have been written with the specific aim of fulfilling the ‘Core &amp; Settlement Strategies’ of the plan and their associated objectives, as well as the environmental objectives as set out in the Strategic Environmental Assessment. </w:t>
      </w:r>
    </w:p>
    <w:p w:rsidR="001378AB" w:rsidRPr="00161DBE" w:rsidRDefault="001378AB" w:rsidP="006E2146">
      <w:pPr>
        <w:spacing w:afterLines="200"/>
        <w:rPr>
          <w:sz w:val="24"/>
          <w:szCs w:val="24"/>
        </w:rPr>
      </w:pPr>
      <w:r w:rsidRPr="00161DBE">
        <w:rPr>
          <w:rStyle w:val="Heading1Char"/>
          <w:sz w:val="24"/>
          <w:szCs w:val="24"/>
        </w:rPr>
        <w:t>Performance Indicators</w:t>
      </w:r>
    </w:p>
    <w:p w:rsidR="001378AB" w:rsidRPr="001378AB" w:rsidRDefault="001378AB" w:rsidP="006E2146">
      <w:pPr>
        <w:spacing w:afterLines="200" w:line="240" w:lineRule="auto"/>
        <w:jc w:val="both"/>
        <w:rPr>
          <w:rStyle w:val="Heading1Char"/>
          <w:rFonts w:cstheme="minorBidi"/>
          <w:bCs w:val="0"/>
          <w:color w:val="auto"/>
          <w:sz w:val="22"/>
          <w:szCs w:val="22"/>
          <w:lang w:eastAsia="en-US"/>
        </w:rPr>
      </w:pPr>
      <w:r>
        <w:t>The measurement of the success of the implement</w:t>
      </w:r>
      <w:r w:rsidR="000F0B95">
        <w:t>ation of the objectives of the P</w:t>
      </w:r>
      <w:r>
        <w:t>lan will be a complex process, as a wide number of actions will be required</w:t>
      </w:r>
      <w:r w:rsidR="008B58EB">
        <w:t xml:space="preserve"> to secure each goal. </w:t>
      </w:r>
      <w:r w:rsidR="008B58EB" w:rsidRPr="00BD0EEF">
        <w:rPr>
          <w:highlight w:val="yellow"/>
        </w:rPr>
        <w:t>Table NTS-9.1 Monitoring,</w:t>
      </w:r>
      <w:r w:rsidRPr="00BD0EEF">
        <w:rPr>
          <w:highlight w:val="yellow"/>
        </w:rPr>
        <w:t xml:space="preserve"> in the SEA report</w:t>
      </w:r>
      <w:r>
        <w:t xml:space="preserve"> sets out the key selected performance indicators within each of the environmental categories many are not within th</w:t>
      </w:r>
      <w:r w:rsidR="00D839B5">
        <w:t>e direct control of the</w:t>
      </w:r>
      <w:r>
        <w:t xml:space="preserve"> Council. Performance indicators will be based on known sources </w:t>
      </w:r>
      <w:r w:rsidR="008B58EB">
        <w:t>of data, such as the Census 201</w:t>
      </w:r>
      <w:r w:rsidR="00F7458C">
        <w:t>6 data (including any</w:t>
      </w:r>
      <w:r>
        <w:t xml:space="preserve"> updated Census results/data). </w:t>
      </w:r>
    </w:p>
    <w:p w:rsidR="001378AB" w:rsidRPr="00161DBE" w:rsidRDefault="001378AB" w:rsidP="006E2146">
      <w:pPr>
        <w:spacing w:afterLines="200"/>
        <w:rPr>
          <w:sz w:val="24"/>
          <w:szCs w:val="24"/>
        </w:rPr>
      </w:pPr>
      <w:r w:rsidRPr="00161DBE">
        <w:rPr>
          <w:rStyle w:val="Heading1Char"/>
          <w:sz w:val="24"/>
          <w:szCs w:val="24"/>
        </w:rPr>
        <w:t>Statutory 2 Year Review</w:t>
      </w:r>
    </w:p>
    <w:p w:rsidR="001378AB" w:rsidRDefault="00BD0EEF" w:rsidP="006F0C61">
      <w:pPr>
        <w:spacing w:afterLines="200" w:line="240" w:lineRule="auto"/>
        <w:jc w:val="both"/>
      </w:pPr>
      <w:r>
        <w:t xml:space="preserve">The </w:t>
      </w:r>
      <w:r w:rsidR="001378AB">
        <w:t xml:space="preserve">Plan will be reviewed after 2 years and a progress report will be prepared </w:t>
      </w:r>
      <w:r w:rsidR="00F51BD6">
        <w:t xml:space="preserve">by the Chief Executive </w:t>
      </w:r>
      <w:r w:rsidR="001378AB">
        <w:t xml:space="preserve">on the achievements in </w:t>
      </w:r>
      <w:r>
        <w:t>securing the objectives of the P</w:t>
      </w:r>
      <w:r w:rsidR="001378AB">
        <w:t>lan</w:t>
      </w:r>
      <w:r w:rsidR="00F51BD6">
        <w:t xml:space="preserve"> at that time. </w:t>
      </w:r>
    </w:p>
    <w:sectPr w:rsidR="001378AB" w:rsidSect="00BC57D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C5B" w:rsidRDefault="00E55C5B" w:rsidP="00325BDE">
      <w:pPr>
        <w:spacing w:after="0" w:line="240" w:lineRule="auto"/>
      </w:pPr>
      <w:r>
        <w:separator/>
      </w:r>
    </w:p>
  </w:endnote>
  <w:endnote w:type="continuationSeparator" w:id="0">
    <w:p w:rsidR="00E55C5B" w:rsidRDefault="00E55C5B" w:rsidP="00325B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EDt00">
    <w:altName w:val="Calibri"/>
    <w:panose1 w:val="00000000000000000000"/>
    <w:charset w:val="00"/>
    <w:family w:val="auto"/>
    <w:notTrueType/>
    <w:pitch w:val="default"/>
    <w:sig w:usb0="00000003" w:usb1="00000000" w:usb2="00000000" w:usb3="00000000" w:csb0="00000001" w:csb1="00000000"/>
  </w:font>
  <w:font w:name="Lato-Regular">
    <w:panose1 w:val="00000000000000000000"/>
    <w:charset w:val="00"/>
    <w:family w:val="auto"/>
    <w:notTrueType/>
    <w:pitch w:val="default"/>
    <w:sig w:usb0="00000003" w:usb1="00000000" w:usb2="00000000" w:usb3="00000000" w:csb0="00000001" w:csb1="00000000"/>
  </w:font>
  <w:font w:name="Times-Roman">
    <w:altName w:val="MS Mincho"/>
    <w:panose1 w:val="00000000000000000000"/>
    <w:charset w:val="80"/>
    <w:family w:val="auto"/>
    <w:notTrueType/>
    <w:pitch w:val="default"/>
    <w:sig w:usb0="00000003" w:usb1="08070000" w:usb2="00000010" w:usb3="00000000" w:csb0="00020001" w:csb1="00000000"/>
  </w:font>
  <w:font w:name="TTEE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265063"/>
      <w:docPartObj>
        <w:docPartGallery w:val="Page Numbers (Bottom of Page)"/>
        <w:docPartUnique/>
      </w:docPartObj>
    </w:sdtPr>
    <w:sdtContent>
      <w:p w:rsidR="00E55C5B" w:rsidRDefault="006F0C61">
        <w:pPr>
          <w:pStyle w:val="Footer"/>
          <w:jc w:val="right"/>
        </w:pPr>
        <w:fldSimple w:instr=" PAGE   \* MERGEFORMAT ">
          <w:r w:rsidR="00933988">
            <w:rPr>
              <w:noProof/>
            </w:rPr>
            <w:t>1</w:t>
          </w:r>
        </w:fldSimple>
      </w:p>
    </w:sdtContent>
  </w:sdt>
  <w:p w:rsidR="00E55C5B" w:rsidRDefault="00E55C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C5B" w:rsidRDefault="00E55C5B" w:rsidP="00325BDE">
      <w:pPr>
        <w:spacing w:after="0" w:line="240" w:lineRule="auto"/>
      </w:pPr>
      <w:r>
        <w:separator/>
      </w:r>
    </w:p>
  </w:footnote>
  <w:footnote w:type="continuationSeparator" w:id="0">
    <w:p w:rsidR="00E55C5B" w:rsidRDefault="00E55C5B" w:rsidP="00325B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5B" w:rsidRPr="006E2146" w:rsidRDefault="006E2146" w:rsidP="006E2146">
    <w:pPr>
      <w:pStyle w:val="Header"/>
      <w:ind w:firstLine="4320"/>
      <w:rPr>
        <w:color w:val="595959" w:themeColor="text1" w:themeTint="A6"/>
      </w:rPr>
    </w:pPr>
    <w:r w:rsidRPr="006E2146">
      <w:rPr>
        <w:noProof/>
        <w:color w:val="595959" w:themeColor="text1" w:themeTint="A6"/>
        <w:lang w:eastAsia="en-IE"/>
      </w:rPr>
      <w:drawing>
        <wp:anchor distT="0" distB="0" distL="114300" distR="114300" simplePos="0" relativeHeight="251658240" behindDoc="1" locked="0" layoutInCell="1" allowOverlap="1">
          <wp:simplePos x="0" y="0"/>
          <wp:positionH relativeFrom="column">
            <wp:posOffset>5627370</wp:posOffset>
          </wp:positionH>
          <wp:positionV relativeFrom="paragraph">
            <wp:posOffset>-140335</wp:posOffset>
          </wp:positionV>
          <wp:extent cx="578485" cy="575945"/>
          <wp:effectExtent l="19050" t="0" r="0" b="0"/>
          <wp:wrapTight wrapText="bothSides">
            <wp:wrapPolygon edited="0">
              <wp:start x="-711" y="0"/>
              <wp:lineTo x="-711" y="20719"/>
              <wp:lineTo x="21339" y="20719"/>
              <wp:lineTo x="21339" y="0"/>
              <wp:lineTo x="-711" y="0"/>
            </wp:wrapPolygon>
          </wp:wrapTight>
          <wp:docPr id="2" name="Picture 2" descr="C:\Users\oobrien\AppData\Local\Microsoft\Windows\Temporary Internet Files\Content.Outlook\G7G7EC0M\MCDP_LOGO_INITIALS_JP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obrien\AppData\Local\Microsoft\Windows\Temporary Internet Files\Content.Outlook\G7G7EC0M\MCDP_LOGO_INITIALS_JPG (3).jpg"/>
                  <pic:cNvPicPr>
                    <a:picLocks noChangeAspect="1" noChangeArrowheads="1"/>
                  </pic:cNvPicPr>
                </pic:nvPicPr>
                <pic:blipFill>
                  <a:blip r:embed="rId1"/>
                  <a:srcRect/>
                  <a:stretch>
                    <a:fillRect/>
                  </a:stretch>
                </pic:blipFill>
                <pic:spPr bwMode="auto">
                  <a:xfrm>
                    <a:off x="0" y="0"/>
                    <a:ext cx="578485" cy="575945"/>
                  </a:xfrm>
                  <a:prstGeom prst="rect">
                    <a:avLst/>
                  </a:prstGeom>
                  <a:noFill/>
                  <a:ln w="9525">
                    <a:noFill/>
                    <a:miter lim="800000"/>
                    <a:headEnd/>
                    <a:tailEnd/>
                  </a:ln>
                </pic:spPr>
              </pic:pic>
            </a:graphicData>
          </a:graphic>
        </wp:anchor>
      </w:drawing>
    </w:r>
    <w:r w:rsidRPr="006E2146">
      <w:rPr>
        <w:color w:val="595959" w:themeColor="text1" w:themeTint="A6"/>
      </w:rPr>
      <w:t xml:space="preserve">Draft Meath County Development Plan 2020-2026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2FD3"/>
    <w:multiLevelType w:val="hybridMultilevel"/>
    <w:tmpl w:val="EC3AF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8A55814"/>
    <w:multiLevelType w:val="hybridMultilevel"/>
    <w:tmpl w:val="6ABC18C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nsid w:val="52DA30B5"/>
    <w:multiLevelType w:val="hybridMultilevel"/>
    <w:tmpl w:val="8E249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646A0F8E"/>
    <w:multiLevelType w:val="hybridMultilevel"/>
    <w:tmpl w:val="E7927D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nsid w:val="6D325E11"/>
    <w:multiLevelType w:val="hybridMultilevel"/>
    <w:tmpl w:val="73DE6696"/>
    <w:lvl w:ilvl="0" w:tplc="1F00CC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741063CF"/>
    <w:multiLevelType w:val="hybridMultilevel"/>
    <w:tmpl w:val="8DA8F5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ED2AC7"/>
    <w:rsid w:val="00004E3D"/>
    <w:rsid w:val="00006795"/>
    <w:rsid w:val="00021BA6"/>
    <w:rsid w:val="0003762E"/>
    <w:rsid w:val="00063980"/>
    <w:rsid w:val="000650EB"/>
    <w:rsid w:val="00090150"/>
    <w:rsid w:val="000B2F2D"/>
    <w:rsid w:val="000C68CD"/>
    <w:rsid w:val="000F0B95"/>
    <w:rsid w:val="000F68D8"/>
    <w:rsid w:val="0010412F"/>
    <w:rsid w:val="00110772"/>
    <w:rsid w:val="001342D2"/>
    <w:rsid w:val="001378AB"/>
    <w:rsid w:val="00141EBA"/>
    <w:rsid w:val="00161DBE"/>
    <w:rsid w:val="0017357C"/>
    <w:rsid w:val="001A4574"/>
    <w:rsid w:val="001B6F82"/>
    <w:rsid w:val="001C0927"/>
    <w:rsid w:val="001D1412"/>
    <w:rsid w:val="001D1E01"/>
    <w:rsid w:val="001E3258"/>
    <w:rsid w:val="001E6FFB"/>
    <w:rsid w:val="00217FDB"/>
    <w:rsid w:val="00295CA9"/>
    <w:rsid w:val="002974F2"/>
    <w:rsid w:val="002A57FF"/>
    <w:rsid w:val="002F15A7"/>
    <w:rsid w:val="00313514"/>
    <w:rsid w:val="00321D7B"/>
    <w:rsid w:val="00325BDE"/>
    <w:rsid w:val="00356CF8"/>
    <w:rsid w:val="0036104C"/>
    <w:rsid w:val="00370871"/>
    <w:rsid w:val="0037219E"/>
    <w:rsid w:val="00395A60"/>
    <w:rsid w:val="003A6937"/>
    <w:rsid w:val="003B0B42"/>
    <w:rsid w:val="003B5BED"/>
    <w:rsid w:val="00416CE8"/>
    <w:rsid w:val="004326FB"/>
    <w:rsid w:val="00481C4C"/>
    <w:rsid w:val="00487C29"/>
    <w:rsid w:val="00497A92"/>
    <w:rsid w:val="004A3F1C"/>
    <w:rsid w:val="004D7D58"/>
    <w:rsid w:val="0051092E"/>
    <w:rsid w:val="00520B77"/>
    <w:rsid w:val="00532516"/>
    <w:rsid w:val="00541F02"/>
    <w:rsid w:val="005716C5"/>
    <w:rsid w:val="00586225"/>
    <w:rsid w:val="005947A2"/>
    <w:rsid w:val="0059736D"/>
    <w:rsid w:val="005C2A9B"/>
    <w:rsid w:val="005D4E91"/>
    <w:rsid w:val="005E12A1"/>
    <w:rsid w:val="005E41B1"/>
    <w:rsid w:val="005E4D16"/>
    <w:rsid w:val="005E582B"/>
    <w:rsid w:val="005E6448"/>
    <w:rsid w:val="0060505F"/>
    <w:rsid w:val="00626ED2"/>
    <w:rsid w:val="0064189B"/>
    <w:rsid w:val="006700B6"/>
    <w:rsid w:val="006B039D"/>
    <w:rsid w:val="006B5187"/>
    <w:rsid w:val="006C6AD4"/>
    <w:rsid w:val="006D31C9"/>
    <w:rsid w:val="006E2146"/>
    <w:rsid w:val="006F0C61"/>
    <w:rsid w:val="0071487F"/>
    <w:rsid w:val="0075164C"/>
    <w:rsid w:val="0077453C"/>
    <w:rsid w:val="00804B7D"/>
    <w:rsid w:val="0080791E"/>
    <w:rsid w:val="00845329"/>
    <w:rsid w:val="00850E36"/>
    <w:rsid w:val="00855A5C"/>
    <w:rsid w:val="00861085"/>
    <w:rsid w:val="008721E7"/>
    <w:rsid w:val="008A6E05"/>
    <w:rsid w:val="008B58EB"/>
    <w:rsid w:val="008B6E88"/>
    <w:rsid w:val="008C1FBB"/>
    <w:rsid w:val="00915904"/>
    <w:rsid w:val="00933988"/>
    <w:rsid w:val="009377C5"/>
    <w:rsid w:val="00A40F7A"/>
    <w:rsid w:val="00A42250"/>
    <w:rsid w:val="00A52CCA"/>
    <w:rsid w:val="00A57E25"/>
    <w:rsid w:val="00A80ED6"/>
    <w:rsid w:val="00A84868"/>
    <w:rsid w:val="00A922C6"/>
    <w:rsid w:val="00AB2CFA"/>
    <w:rsid w:val="00B027CF"/>
    <w:rsid w:val="00B752C6"/>
    <w:rsid w:val="00BC57D0"/>
    <w:rsid w:val="00BC68ED"/>
    <w:rsid w:val="00BD0EEF"/>
    <w:rsid w:val="00BD7A16"/>
    <w:rsid w:val="00C35FCD"/>
    <w:rsid w:val="00C43761"/>
    <w:rsid w:val="00C46E2E"/>
    <w:rsid w:val="00C7286A"/>
    <w:rsid w:val="00C86BBA"/>
    <w:rsid w:val="00CB0C62"/>
    <w:rsid w:val="00CD6219"/>
    <w:rsid w:val="00D30152"/>
    <w:rsid w:val="00D625FE"/>
    <w:rsid w:val="00D76AEA"/>
    <w:rsid w:val="00D77ED4"/>
    <w:rsid w:val="00D839B5"/>
    <w:rsid w:val="00D97449"/>
    <w:rsid w:val="00DC50B8"/>
    <w:rsid w:val="00DE6953"/>
    <w:rsid w:val="00E13800"/>
    <w:rsid w:val="00E208A0"/>
    <w:rsid w:val="00E20E27"/>
    <w:rsid w:val="00E303BE"/>
    <w:rsid w:val="00E32A79"/>
    <w:rsid w:val="00E54CE3"/>
    <w:rsid w:val="00E55C5B"/>
    <w:rsid w:val="00E72619"/>
    <w:rsid w:val="00E8065C"/>
    <w:rsid w:val="00EB297B"/>
    <w:rsid w:val="00EC0727"/>
    <w:rsid w:val="00ED2AC7"/>
    <w:rsid w:val="00EF4DA1"/>
    <w:rsid w:val="00F438E7"/>
    <w:rsid w:val="00F51BD6"/>
    <w:rsid w:val="00F609F9"/>
    <w:rsid w:val="00F61596"/>
    <w:rsid w:val="00F7458C"/>
    <w:rsid w:val="00FA3F1A"/>
    <w:rsid w:val="00FF733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D0"/>
  </w:style>
  <w:style w:type="paragraph" w:styleId="Heading1">
    <w:name w:val="heading 1"/>
    <w:basedOn w:val="Normal"/>
    <w:next w:val="Normal"/>
    <w:link w:val="Heading1Char"/>
    <w:qFormat/>
    <w:rsid w:val="0060505F"/>
    <w:pPr>
      <w:spacing w:after="0" w:line="240" w:lineRule="auto"/>
      <w:jc w:val="center"/>
      <w:outlineLvl w:val="0"/>
    </w:pPr>
    <w:rPr>
      <w:rFonts w:cs="Times New Roman"/>
      <w:bCs/>
      <w:color w:val="F79645"/>
      <w:sz w:val="44"/>
      <w:szCs w:val="44"/>
      <w:lang w:eastAsia="en-IE"/>
    </w:rPr>
  </w:style>
  <w:style w:type="paragraph" w:styleId="Heading2">
    <w:name w:val="heading 2"/>
    <w:basedOn w:val="Normal"/>
    <w:next w:val="Normal"/>
    <w:link w:val="Heading2Char"/>
    <w:uiPriority w:val="9"/>
    <w:unhideWhenUsed/>
    <w:qFormat/>
    <w:rsid w:val="006050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2A1"/>
    <w:pPr>
      <w:ind w:left="720"/>
      <w:contextualSpacing/>
    </w:pPr>
  </w:style>
  <w:style w:type="character" w:customStyle="1" w:styleId="Heading1Char">
    <w:name w:val="Heading 1 Char"/>
    <w:basedOn w:val="DefaultParagraphFont"/>
    <w:link w:val="Heading1"/>
    <w:rsid w:val="0060505F"/>
    <w:rPr>
      <w:rFonts w:cs="Times New Roman"/>
      <w:bCs/>
      <w:color w:val="F79645"/>
      <w:sz w:val="44"/>
      <w:szCs w:val="44"/>
      <w:lang w:eastAsia="en-IE"/>
    </w:rPr>
  </w:style>
  <w:style w:type="character" w:customStyle="1" w:styleId="Heading2Char">
    <w:name w:val="Heading 2 Char"/>
    <w:basedOn w:val="DefaultParagraphFont"/>
    <w:link w:val="Heading2"/>
    <w:uiPriority w:val="9"/>
    <w:rsid w:val="0060505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25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BDE"/>
  </w:style>
  <w:style w:type="paragraph" w:styleId="Footer">
    <w:name w:val="footer"/>
    <w:basedOn w:val="Normal"/>
    <w:link w:val="FooterChar"/>
    <w:uiPriority w:val="99"/>
    <w:unhideWhenUsed/>
    <w:rsid w:val="00325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BDE"/>
  </w:style>
  <w:style w:type="character" w:customStyle="1" w:styleId="Heading3Char">
    <w:name w:val="Heading 3 Char"/>
    <w:basedOn w:val="DefaultParagraphFont"/>
    <w:link w:val="Heading3"/>
    <w:uiPriority w:val="9"/>
    <w:rsid w:val="00C86BB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7357C"/>
    <w:rPr>
      <w:color w:val="0000FF" w:themeColor="hyperlink"/>
      <w:u w:val="single"/>
    </w:rPr>
  </w:style>
  <w:style w:type="paragraph" w:styleId="FootnoteText">
    <w:name w:val="footnote text"/>
    <w:basedOn w:val="Normal"/>
    <w:link w:val="FootnoteTextChar"/>
    <w:uiPriority w:val="99"/>
    <w:unhideWhenUsed/>
    <w:rsid w:val="0017357C"/>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17357C"/>
    <w:rPr>
      <w:sz w:val="20"/>
      <w:szCs w:val="20"/>
    </w:rPr>
  </w:style>
  <w:style w:type="character" w:styleId="FootnoteReference">
    <w:name w:val="footnote reference"/>
    <w:basedOn w:val="DefaultParagraphFont"/>
    <w:uiPriority w:val="99"/>
    <w:semiHidden/>
    <w:unhideWhenUsed/>
    <w:rsid w:val="0017357C"/>
    <w:rPr>
      <w:vertAlign w:val="superscript"/>
    </w:rPr>
  </w:style>
  <w:style w:type="paragraph" w:styleId="BalloonText">
    <w:name w:val="Balloon Text"/>
    <w:basedOn w:val="Normal"/>
    <w:link w:val="BalloonTextChar"/>
    <w:uiPriority w:val="99"/>
    <w:semiHidden/>
    <w:unhideWhenUsed/>
    <w:rsid w:val="006E2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1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EDt00">
    <w:altName w:val="Calibri"/>
    <w:panose1 w:val="00000000000000000000"/>
    <w:charset w:val="00"/>
    <w:family w:val="auto"/>
    <w:notTrueType/>
    <w:pitch w:val="default"/>
    <w:sig w:usb0="00000003" w:usb1="00000000" w:usb2="00000000" w:usb3="00000000" w:csb0="00000001" w:csb1="00000000"/>
  </w:font>
  <w:font w:name="Lato-Regular">
    <w:panose1 w:val="00000000000000000000"/>
    <w:charset w:val="00"/>
    <w:family w:val="auto"/>
    <w:notTrueType/>
    <w:pitch w:val="default"/>
    <w:sig w:usb0="00000003" w:usb1="00000000" w:usb2="00000000" w:usb3="00000000" w:csb0="00000001" w:csb1="00000000"/>
  </w:font>
  <w:font w:name="Times-Roman">
    <w:altName w:val="MS Mincho"/>
    <w:panose1 w:val="00000000000000000000"/>
    <w:charset w:val="80"/>
    <w:family w:val="auto"/>
    <w:notTrueType/>
    <w:pitch w:val="default"/>
    <w:sig w:usb0="00000003" w:usb1="08070000" w:usb2="00000010" w:usb3="00000000" w:csb0="00020001" w:csb1="00000000"/>
  </w:font>
  <w:font w:name="TTEEt00">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97C13"/>
    <w:rsid w:val="00097C13"/>
    <w:rsid w:val="00721939"/>
    <w:rsid w:val="00B730D1"/>
    <w:rsid w:val="00EB0CB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9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75885D3F8B429E8512DD7048C41597">
    <w:name w:val="3175885D3F8B429E8512DD7048C41597"/>
    <w:rsid w:val="00097C13"/>
  </w:style>
  <w:style w:type="paragraph" w:customStyle="1" w:styleId="577B41CDA5C349239482CE82C0A266DB">
    <w:name w:val="577B41CDA5C349239482CE82C0A266DB"/>
    <w:rsid w:val="00097C13"/>
  </w:style>
  <w:style w:type="paragraph" w:customStyle="1" w:styleId="36444F7153C64930AABDA8BA43458C22">
    <w:name w:val="36444F7153C64930AABDA8BA43458C22"/>
    <w:rsid w:val="00097C13"/>
  </w:style>
  <w:style w:type="paragraph" w:customStyle="1" w:styleId="3C5273935108422B82D691A2C1E1CE8F">
    <w:name w:val="3C5273935108422B82D691A2C1E1CE8F"/>
    <w:rsid w:val="00097C1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2702</Words>
  <Characters>15403</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Draft Meath County Development Plan 2020-2026</vt:lpstr>
      <vt:lpstr>Appendix 15- Implementation &amp; Monitoring </vt:lpstr>
      <vt:lpstr>    Introduction</vt:lpstr>
      <vt:lpstr>    Under the provisions of Section 15 (1) of the Planning and Development Act 2000 </vt:lpstr>
      <vt:lpstr>    Monitoring</vt:lpstr>
    </vt:vector>
  </TitlesOfParts>
  <Company/>
  <LinksUpToDate>false</LinksUpToDate>
  <CharactersWithSpaces>18069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Meath County Development Plan 2020-2026</dc:title>
  <dc:creator>temp</dc:creator>
  <cp:lastModifiedBy>temp</cp:lastModifiedBy>
  <cp:revision>2</cp:revision>
  <cp:lastPrinted>2019-09-05T15:20:00Z</cp:lastPrinted>
  <dcterms:created xsi:type="dcterms:W3CDTF">2019-11-27T16:58:00Z</dcterms:created>
  <dcterms:modified xsi:type="dcterms:W3CDTF">2019-11-27T16:58:00Z</dcterms:modified>
</cp:coreProperties>
</file>